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p>
    <w:p>
      <w:pPr>
        <w:pStyle w:val="29"/>
        <w:jc w:val="center"/>
        <w:rPr>
          <w:rFonts w:hint="eastAsia" w:asciiTheme="minorEastAsia" w:hAnsiTheme="minorEastAsia" w:eastAsiaTheme="minorEastAsia" w:cstheme="minorEastAsia"/>
          <w:b/>
          <w:bCs/>
          <w:color w:val="auto"/>
          <w:sz w:val="84"/>
          <w:szCs w:val="84"/>
        </w:rPr>
      </w:pPr>
      <w:r>
        <w:rPr>
          <w:rFonts w:hint="eastAsia" w:asciiTheme="minorEastAsia" w:hAnsiTheme="minorEastAsia" w:eastAsiaTheme="minorEastAsia" w:cstheme="minorEastAsia"/>
          <w:b/>
          <w:color w:val="auto"/>
          <w:sz w:val="84"/>
          <w:szCs w:val="84"/>
        </w:rPr>
        <w:t>企业采购</w:t>
      </w:r>
    </w:p>
    <w:p>
      <w:pPr>
        <w:pStyle w:val="29"/>
        <w:adjustRightInd w:val="0"/>
        <w:snapToGrid w:val="0"/>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rPr>
        <w:t>竞争性磋商文件</w:t>
      </w:r>
    </w:p>
    <w:p>
      <w:pPr>
        <w:pStyle w:val="29"/>
        <w:adjustRightInd w:val="0"/>
        <w:snapToGrid w:val="0"/>
        <w:spacing w:beforeLines="50"/>
        <w:ind w:left="846" w:leftChars="403" w:firstLine="157" w:firstLineChars="49"/>
        <w:jc w:val="center"/>
        <w:rPr>
          <w:rFonts w:hint="eastAsia" w:asciiTheme="minorEastAsia" w:hAnsiTheme="minorEastAsia" w:eastAsiaTheme="minorEastAsia" w:cstheme="minorEastAsia"/>
          <w:b/>
          <w:color w:val="auto"/>
          <w:sz w:val="32"/>
          <w:szCs w:val="32"/>
        </w:rPr>
      </w:pPr>
    </w:p>
    <w:p>
      <w:pPr>
        <w:pStyle w:val="29"/>
        <w:adjustRightInd w:val="0"/>
        <w:snapToGrid w:val="0"/>
        <w:rPr>
          <w:rFonts w:hint="eastAsia" w:asciiTheme="minorEastAsia" w:hAnsiTheme="minorEastAsia" w:eastAsiaTheme="minorEastAsia" w:cstheme="minorEastAsia"/>
          <w:color w:val="auto"/>
          <w:sz w:val="32"/>
          <w:szCs w:val="32"/>
        </w:rPr>
      </w:pPr>
    </w:p>
    <w:p>
      <w:pPr>
        <w:pStyle w:val="29"/>
        <w:adjustRightInd w:val="0"/>
        <w:snapToGrid w:val="0"/>
        <w:ind w:left="2080" w:right="-197" w:rightChars="-94" w:hanging="2080" w:hangingChars="65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采购项目名称：</w:t>
      </w:r>
      <w:r>
        <w:rPr>
          <w:rFonts w:hint="eastAsia" w:asciiTheme="minorEastAsia" w:hAnsiTheme="minorEastAsia" w:eastAsiaTheme="minorEastAsia" w:cstheme="minorEastAsia"/>
          <w:color w:val="auto"/>
          <w:sz w:val="32"/>
          <w:szCs w:val="32"/>
          <w:u w:val="single"/>
          <w:lang w:eastAsia="zh-CN"/>
        </w:rPr>
        <w:t>湘潭市中心医院核磁共振楼装饰工程</w:t>
      </w:r>
    </w:p>
    <w:p>
      <w:pPr>
        <w:pStyle w:val="29"/>
        <w:adjustRightInd w:val="0"/>
        <w:snapToGrid w:val="0"/>
        <w:ind w:right="-197" w:rightChars="-94"/>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采   购   人：</w:t>
      </w:r>
      <w:r>
        <w:rPr>
          <w:rFonts w:hint="eastAsia" w:asciiTheme="minorEastAsia" w:hAnsiTheme="minorEastAsia" w:eastAsiaTheme="minorEastAsia" w:cstheme="minorEastAsia"/>
          <w:color w:val="auto"/>
          <w:sz w:val="32"/>
          <w:szCs w:val="32"/>
          <w:lang w:eastAsia="zh-CN"/>
        </w:rPr>
        <w:t>湘潭市中心医院</w:t>
      </w:r>
    </w:p>
    <w:p>
      <w:pPr>
        <w:pStyle w:val="29"/>
        <w:adjustRightInd w:val="0"/>
        <w:snapToGrid w:val="0"/>
        <w:ind w:right="-197" w:rightChars="-94"/>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委托代理编号：</w:t>
      </w:r>
      <w:r>
        <w:rPr>
          <w:rFonts w:hint="eastAsia" w:asciiTheme="minorEastAsia" w:hAnsiTheme="minorEastAsia" w:eastAsiaTheme="minorEastAsia" w:cstheme="minorEastAsia"/>
          <w:color w:val="auto"/>
          <w:sz w:val="32"/>
          <w:szCs w:val="32"/>
          <w:lang w:eastAsia="zh-CN"/>
        </w:rPr>
        <w:t>JYCZ201</w:t>
      </w:r>
      <w:r>
        <w:rPr>
          <w:rFonts w:hint="eastAsia" w:asciiTheme="minorEastAsia" w:hAnsiTheme="minorEastAsia" w:eastAsiaTheme="minorEastAsia" w:cstheme="minorEastAsia"/>
          <w:color w:val="auto"/>
          <w:sz w:val="32"/>
          <w:szCs w:val="32"/>
          <w:lang w:val="en-US" w:eastAsia="zh-CN"/>
        </w:rPr>
        <w:t>9</w:t>
      </w:r>
      <w:r>
        <w:rPr>
          <w:rFonts w:hint="eastAsia" w:asciiTheme="minorEastAsia" w:hAnsiTheme="minorEastAsia" w:eastAsiaTheme="minorEastAsia" w:cstheme="minorEastAsia"/>
          <w:color w:val="auto"/>
          <w:sz w:val="32"/>
          <w:szCs w:val="32"/>
          <w:lang w:eastAsia="zh-CN"/>
        </w:rPr>
        <w:t>031</w:t>
      </w:r>
      <w:r>
        <w:rPr>
          <w:rFonts w:hint="eastAsia" w:asciiTheme="minorEastAsia" w:hAnsiTheme="minorEastAsia" w:eastAsiaTheme="minorEastAsia" w:cstheme="minorEastAsia"/>
          <w:color w:val="auto"/>
          <w:sz w:val="32"/>
          <w:szCs w:val="32"/>
          <w:lang w:val="en-US" w:eastAsia="zh-CN"/>
        </w:rPr>
        <w:t>52</w:t>
      </w:r>
      <w:r>
        <w:rPr>
          <w:rFonts w:hint="eastAsia" w:asciiTheme="minorEastAsia" w:hAnsiTheme="minorEastAsia" w:eastAsiaTheme="minorEastAsia" w:cstheme="minorEastAsia"/>
          <w:color w:val="auto"/>
          <w:sz w:val="32"/>
          <w:szCs w:val="32"/>
        </w:rPr>
        <w:t xml:space="preserve"> </w:t>
      </w:r>
    </w:p>
    <w:p>
      <w:pPr>
        <w:pStyle w:val="29"/>
        <w:adjustRightInd w:val="0"/>
        <w:snapToGrid w:val="0"/>
        <w:rPr>
          <w:rFonts w:hint="eastAsia" w:asciiTheme="minorEastAsia" w:hAnsiTheme="minorEastAsia" w:eastAsiaTheme="minorEastAsia" w:cstheme="minorEastAsia"/>
          <w:b/>
          <w:color w:val="auto"/>
          <w:sz w:val="32"/>
        </w:rPr>
      </w:pPr>
    </w:p>
    <w:p>
      <w:pPr>
        <w:pStyle w:val="29"/>
        <w:adjustRightInd w:val="0"/>
        <w:snapToGrid w:val="0"/>
        <w:rPr>
          <w:rFonts w:hint="eastAsia" w:asciiTheme="minorEastAsia" w:hAnsiTheme="minorEastAsia" w:eastAsiaTheme="minorEastAsia" w:cstheme="minorEastAsia"/>
          <w:b/>
          <w:color w:val="auto"/>
          <w:sz w:val="32"/>
        </w:rPr>
      </w:pPr>
    </w:p>
    <w:p>
      <w:pPr>
        <w:pStyle w:val="29"/>
        <w:adjustRightInd w:val="0"/>
        <w:snapToGrid w:val="0"/>
        <w:jc w:val="center"/>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drawing>
          <wp:inline distT="0" distB="0" distL="0" distR="0">
            <wp:extent cx="838200" cy="838200"/>
            <wp:effectExtent l="0" t="0" r="0" b="0"/>
            <wp:docPr id="3" name="图片 1" descr="建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建业二维码"/>
                    <pic:cNvPicPr>
                      <a:picLocks noChangeAspect="1" noChangeArrowheads="1"/>
                    </pic:cNvPicPr>
                  </pic:nvPicPr>
                  <pic:blipFill>
                    <a:blip r:embed="rId7" cstate="print"/>
                    <a:srcRect/>
                    <a:stretch>
                      <a:fillRect/>
                    </a:stretch>
                  </pic:blipFill>
                  <pic:spPr>
                    <a:xfrm>
                      <a:off x="0" y="0"/>
                      <a:ext cx="838200" cy="838200"/>
                    </a:xfrm>
                    <a:prstGeom prst="rect">
                      <a:avLst/>
                    </a:prstGeom>
                    <a:noFill/>
                    <a:ln w="9525">
                      <a:noFill/>
                      <a:miter lim="800000"/>
                      <a:headEnd/>
                      <a:tailEnd/>
                    </a:ln>
                  </pic:spPr>
                </pic:pic>
              </a:graphicData>
            </a:graphic>
          </wp:inline>
        </w:drawing>
      </w:r>
    </w:p>
    <w:p>
      <w:pPr>
        <w:pStyle w:val="29"/>
        <w:adjustRightInd w:val="0"/>
        <w:snapToGrid w:val="0"/>
        <w:rPr>
          <w:rFonts w:hint="eastAsia" w:asciiTheme="minorEastAsia" w:hAnsiTheme="minorEastAsia" w:eastAsiaTheme="minorEastAsia" w:cstheme="minorEastAsia"/>
          <w:b/>
          <w:color w:val="auto"/>
          <w:sz w:val="32"/>
        </w:rPr>
      </w:pPr>
    </w:p>
    <w:p>
      <w:pPr>
        <w:pStyle w:val="29"/>
        <w:adjustRightInd w:val="0"/>
        <w:snapToGrid w:val="0"/>
        <w:jc w:val="center"/>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湖南建业管理咨询有限公司</w:t>
      </w:r>
    </w:p>
    <w:p>
      <w:pPr>
        <w:pStyle w:val="29"/>
        <w:adjustRightInd w:val="0"/>
        <w:snapToGrid w:val="0"/>
        <w:jc w:val="center"/>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201</w:t>
      </w:r>
      <w:r>
        <w:rPr>
          <w:rFonts w:hint="eastAsia" w:asciiTheme="minorEastAsia" w:hAnsiTheme="minorEastAsia" w:eastAsiaTheme="minorEastAsia" w:cstheme="minorEastAsia"/>
          <w:b/>
          <w:color w:val="auto"/>
          <w:sz w:val="32"/>
          <w:lang w:val="en-US" w:eastAsia="zh-CN"/>
        </w:rPr>
        <w:t>9</w:t>
      </w:r>
      <w:r>
        <w:rPr>
          <w:rFonts w:hint="eastAsia" w:asciiTheme="minorEastAsia" w:hAnsiTheme="minorEastAsia" w:eastAsiaTheme="minorEastAsia" w:cstheme="minorEastAsia"/>
          <w:b/>
          <w:color w:val="auto"/>
          <w:sz w:val="32"/>
        </w:rPr>
        <w:t>年</w:t>
      </w:r>
      <w:r>
        <w:rPr>
          <w:rFonts w:hint="eastAsia" w:asciiTheme="minorEastAsia" w:hAnsiTheme="minorEastAsia" w:eastAsiaTheme="minorEastAsia" w:cstheme="minorEastAsia"/>
          <w:b/>
          <w:color w:val="auto"/>
          <w:sz w:val="32"/>
          <w:lang w:val="en-US" w:eastAsia="zh-CN"/>
        </w:rPr>
        <w:t>1</w:t>
      </w:r>
      <w:r>
        <w:rPr>
          <w:rFonts w:hint="eastAsia" w:asciiTheme="minorEastAsia" w:hAnsiTheme="minorEastAsia" w:eastAsiaTheme="minorEastAsia" w:cstheme="minorEastAsia"/>
          <w:b/>
          <w:color w:val="auto"/>
          <w:sz w:val="32"/>
        </w:rPr>
        <w:t xml:space="preserve">月        </w:t>
      </w:r>
    </w:p>
    <w:p>
      <w:pPr>
        <w:pStyle w:val="29"/>
        <w:adjustRightInd w:val="0"/>
        <w:snapToGrid w:val="0"/>
        <w:ind w:firstLine="3399" w:firstLineChars="1058"/>
        <w:rPr>
          <w:rFonts w:hint="eastAsia" w:asciiTheme="minorEastAsia" w:hAnsiTheme="minorEastAsia" w:eastAsiaTheme="minorEastAsia" w:cstheme="minorEastAsia"/>
          <w:b/>
          <w:color w:val="auto"/>
          <w:sz w:val="32"/>
        </w:rPr>
      </w:pPr>
    </w:p>
    <w:p>
      <w:pPr>
        <w:pStyle w:val="29"/>
        <w:adjustRightInd w:val="0"/>
        <w:snapToGrid w:val="0"/>
        <w:ind w:firstLine="2549" w:firstLineChars="1058"/>
        <w:rPr>
          <w:rFonts w:hint="eastAsia" w:asciiTheme="minorEastAsia" w:hAnsiTheme="minorEastAsia" w:eastAsiaTheme="minorEastAsia" w:cstheme="minorEastAsia"/>
          <w:b/>
          <w:color w:val="auto"/>
          <w:sz w:val="24"/>
          <w:szCs w:val="24"/>
        </w:rPr>
      </w:pPr>
    </w:p>
    <w:p>
      <w:pPr>
        <w:pStyle w:val="29"/>
        <w:adjustRightInd w:val="0"/>
        <w:snapToGrid w:val="0"/>
        <w:ind w:firstLine="2549" w:firstLineChars="1058"/>
        <w:rPr>
          <w:rFonts w:hint="eastAsia" w:asciiTheme="minorEastAsia" w:hAnsiTheme="minorEastAsia" w:eastAsiaTheme="minorEastAsia" w:cstheme="minorEastAsia"/>
          <w:b/>
          <w:color w:val="auto"/>
          <w:sz w:val="24"/>
          <w:szCs w:val="24"/>
        </w:rPr>
      </w:pPr>
    </w:p>
    <w:p>
      <w:pPr>
        <w:pStyle w:val="29"/>
        <w:adjustRightInd w:val="0"/>
        <w:snapToGrid w:val="0"/>
        <w:ind w:firstLine="2549" w:firstLineChars="1058"/>
        <w:rPr>
          <w:rFonts w:hint="eastAsia" w:asciiTheme="minorEastAsia" w:hAnsiTheme="minorEastAsia" w:eastAsiaTheme="minorEastAsia" w:cstheme="minorEastAsia"/>
          <w:b/>
          <w:color w:val="auto"/>
          <w:sz w:val="24"/>
          <w:szCs w:val="24"/>
        </w:rPr>
      </w:pPr>
    </w:p>
    <w:sdt>
      <w:sdtPr>
        <w:rPr>
          <w:rFonts w:hint="eastAsia" w:asciiTheme="minorEastAsia" w:hAnsiTheme="minorEastAsia" w:eastAsiaTheme="minorEastAsia" w:cstheme="minorEastAsia"/>
          <w:b w:val="0"/>
          <w:bCs w:val="0"/>
          <w:color w:val="auto"/>
          <w:kern w:val="2"/>
          <w:sz w:val="21"/>
          <w:szCs w:val="24"/>
          <w:lang w:val="zh-CN"/>
        </w:rPr>
        <w:id w:val="1922621"/>
        <w:docPartObj>
          <w:docPartGallery w:val="Table of Contents"/>
          <w:docPartUnique/>
        </w:docPartObj>
      </w:sdtPr>
      <w:sdtEndPr>
        <w:rPr>
          <w:rFonts w:hint="eastAsia" w:asciiTheme="minorEastAsia" w:hAnsiTheme="minorEastAsia" w:eastAsiaTheme="minorEastAsia" w:cstheme="minorEastAsia"/>
          <w:b w:val="0"/>
          <w:bCs w:val="0"/>
          <w:color w:val="auto"/>
          <w:kern w:val="2"/>
          <w:sz w:val="21"/>
          <w:szCs w:val="24"/>
          <w:lang w:val="en-US"/>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目录</w:t>
          </w:r>
        </w:p>
        <w:p>
          <w:pPr>
            <w:pStyle w:val="2"/>
            <w:rPr>
              <w:rFonts w:hint="eastAsia" w:asciiTheme="minorEastAsia" w:hAnsiTheme="minorEastAsia" w:eastAsiaTheme="minorEastAsia" w:cstheme="minorEastAsia"/>
              <w:color w:val="auto"/>
            </w:rPr>
          </w:pPr>
        </w:p>
        <w:p>
          <w:pPr>
            <w:pStyle w:val="37"/>
            <w:tabs>
              <w:tab w:val="right" w:leader="dot" w:pos="8844"/>
              <w:tab w:val="clear" w:pos="830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TOC \o "1-3" \h \z \u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_Toc7973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32"/>
            </w:rPr>
            <w:t xml:space="preserve">第一章  </w:t>
          </w:r>
          <w:r>
            <w:rPr>
              <w:rFonts w:hint="eastAsia" w:asciiTheme="minorEastAsia" w:hAnsiTheme="minorEastAsia" w:eastAsiaTheme="minorEastAsia" w:cstheme="minorEastAsia"/>
              <w:color w:val="auto"/>
            </w:rPr>
            <w:t>竞争性</w:t>
          </w:r>
          <w:r>
            <w:rPr>
              <w:rFonts w:hint="eastAsia" w:asciiTheme="minorEastAsia" w:hAnsiTheme="minorEastAsia" w:eastAsiaTheme="minorEastAsia" w:cstheme="minorEastAsia"/>
              <w:color w:val="auto"/>
              <w:szCs w:val="32"/>
            </w:rPr>
            <w:t>磋商</w:t>
          </w:r>
          <w:r>
            <w:rPr>
              <w:rFonts w:hint="eastAsia" w:asciiTheme="minorEastAsia" w:hAnsiTheme="minorEastAsia" w:eastAsiaTheme="minorEastAsia" w:cstheme="minorEastAsia"/>
              <w:color w:val="auto"/>
              <w:szCs w:val="32"/>
              <w:lang w:eastAsia="zh-CN"/>
            </w:rPr>
            <w:t>邀请公告</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_Toc7973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tabs>
              <w:tab w:val="right" w:leader="dot" w:pos="8844"/>
              <w:tab w:val="clear" w:pos="830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_Toc14146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32"/>
            </w:rPr>
            <w:t>第二章  磋商须知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_Toc14146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3"/>
            <w:tabs>
              <w:tab w:val="right" w:leader="dot" w:pos="8844"/>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_Toc21189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一、说明</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_Toc21189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3"/>
            <w:tabs>
              <w:tab w:val="right" w:leader="dot" w:pos="8844"/>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_Toc13821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二、磋商文件</w:t>
          </w:r>
          <w:book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_Toc13821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3"/>
            <w:tabs>
              <w:tab w:val="right" w:leader="dot" w:pos="8844"/>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_Toc6624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三、响应文件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_Toc6624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3"/>
            <w:tabs>
              <w:tab w:val="right" w:leader="dot" w:pos="8844"/>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_Toc20739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四、响应文件的递交</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_Toc20739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3"/>
            <w:tabs>
              <w:tab w:val="right" w:leader="dot" w:pos="8844"/>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_Toc8424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rPr>
            <w:t>五、响应文件的</w:t>
          </w:r>
          <w:r>
            <w:rPr>
              <w:rFonts w:hint="eastAsia" w:asciiTheme="minorEastAsia" w:hAnsiTheme="minorEastAsia" w:eastAsiaTheme="minorEastAsia" w:cstheme="minorEastAsia"/>
              <w:color w:val="auto"/>
            </w:rPr>
            <w:t>评审与磋商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_Toc8424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3"/>
            <w:tabs>
              <w:tab w:val="right" w:leader="dot" w:pos="8844"/>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_Toc14401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六、成交结果信息公布与授予合同</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_Toc14401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3"/>
            <w:tabs>
              <w:tab w:val="right" w:leader="dot" w:pos="8844"/>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_Toc26698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4"/>
            </w:rPr>
            <w:t>七、其他规定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_Toc26698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tabs>
              <w:tab w:val="right" w:leader="dot" w:pos="8844"/>
              <w:tab w:val="clear" w:pos="830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_Toc5217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32"/>
            </w:rPr>
            <w:t>第三章 评审办法及标准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_Toc5217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tabs>
              <w:tab w:val="right" w:leader="dot" w:pos="8844"/>
              <w:tab w:val="clear" w:pos="830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_Toc16439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32"/>
            </w:rPr>
            <w:t xml:space="preserve">第四章  </w:t>
          </w:r>
          <w:r>
            <w:rPr>
              <w:rFonts w:hint="eastAsia" w:asciiTheme="minorEastAsia" w:hAnsiTheme="minorEastAsia" w:eastAsiaTheme="minorEastAsia" w:cstheme="minorEastAsia"/>
              <w:bCs/>
              <w:color w:val="auto"/>
              <w:szCs w:val="32"/>
            </w:rPr>
            <w:t>采购合同格式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_Toc16439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tabs>
              <w:tab w:val="right" w:leader="dot" w:pos="8844"/>
              <w:tab w:val="clear" w:pos="830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_Toc15956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32"/>
            </w:rPr>
            <w:t xml:space="preserve">第五章 </w:t>
          </w:r>
          <w:r>
            <w:rPr>
              <w:rFonts w:hint="eastAsia" w:asciiTheme="minorEastAsia" w:hAnsiTheme="minorEastAsia" w:eastAsiaTheme="minorEastAsia" w:cstheme="minorEastAsia"/>
              <w:color w:val="auto"/>
              <w:szCs w:val="32"/>
            </w:rPr>
            <w:t>采购需求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_Toc15956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tabs>
              <w:tab w:val="right" w:leader="dot" w:pos="8844"/>
              <w:tab w:val="clear" w:pos="8302"/>
            </w:tabs>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_Toc14769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32"/>
            </w:rPr>
            <w:t>第六章 响应文件组成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_Toc14769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fldChar w:fldCharType="end"/>
          </w:r>
        </w:p>
      </w:sdtContent>
    </w:sdt>
    <w:p>
      <w:pPr>
        <w:pStyle w:val="3"/>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val="0"/>
          <w:color w:val="auto"/>
        </w:rPr>
        <w:br w:type="page"/>
      </w:r>
      <w:bookmarkStart w:id="0" w:name="_Toc7973"/>
      <w:r>
        <w:rPr>
          <w:rFonts w:hint="eastAsia" w:asciiTheme="minorEastAsia" w:hAnsiTheme="minorEastAsia" w:eastAsiaTheme="minorEastAsia" w:cstheme="minorEastAsia"/>
          <w:color w:val="auto"/>
          <w:sz w:val="32"/>
          <w:szCs w:val="32"/>
        </w:rPr>
        <w:t xml:space="preserve">第一章  </w:t>
      </w:r>
      <w:r>
        <w:rPr>
          <w:rFonts w:hint="eastAsia" w:asciiTheme="minorEastAsia" w:hAnsiTheme="minorEastAsia" w:eastAsiaTheme="minorEastAsia" w:cstheme="minorEastAsia"/>
          <w:color w:val="auto"/>
          <w:lang w:eastAsia="zh-CN"/>
        </w:rPr>
        <w:t>湘潭市中心医院核磁共振楼装饰工程</w:t>
      </w:r>
      <w:r>
        <w:rPr>
          <w:rFonts w:hint="eastAsia" w:asciiTheme="minorEastAsia" w:hAnsiTheme="minorEastAsia" w:eastAsiaTheme="minorEastAsia" w:cstheme="minorEastAsia"/>
          <w:color w:val="auto"/>
        </w:rPr>
        <w:t>竞争性</w:t>
      </w:r>
      <w:r>
        <w:rPr>
          <w:rFonts w:hint="eastAsia" w:asciiTheme="minorEastAsia" w:hAnsiTheme="minorEastAsia" w:eastAsiaTheme="minorEastAsia" w:cstheme="minorEastAsia"/>
          <w:color w:val="auto"/>
          <w:sz w:val="32"/>
          <w:szCs w:val="32"/>
        </w:rPr>
        <w:t>磋商</w:t>
      </w:r>
      <w:bookmarkEnd w:id="0"/>
    </w:p>
    <w:p>
      <w:pPr>
        <w:pStyle w:val="3"/>
        <w:jc w:val="center"/>
        <w:rPr>
          <w:rFonts w:hint="eastAsia" w:asciiTheme="minorEastAsia" w:hAnsiTheme="minorEastAsia" w:eastAsiaTheme="minorEastAsia" w:cstheme="minorEastAsia"/>
          <w:color w:val="auto"/>
          <w:sz w:val="32"/>
          <w:szCs w:val="32"/>
        </w:rPr>
      </w:pPr>
      <w:bookmarkStart w:id="1" w:name="_Toc21961"/>
      <w:r>
        <w:rPr>
          <w:rFonts w:hint="eastAsia" w:asciiTheme="minorEastAsia" w:hAnsiTheme="minorEastAsia" w:eastAsiaTheme="minorEastAsia" w:cstheme="minorEastAsia"/>
          <w:color w:val="auto"/>
          <w:sz w:val="32"/>
          <w:szCs w:val="32"/>
        </w:rPr>
        <w:t>邀请公告</w:t>
      </w:r>
      <w:bookmarkEnd w:id="1"/>
    </w:p>
    <w:p>
      <w:pPr>
        <w:rPr>
          <w:rFonts w:hint="eastAsia" w:asciiTheme="minorEastAsia" w:hAnsiTheme="minorEastAsia" w:eastAsiaTheme="minorEastAsia" w:cstheme="minorEastAsia"/>
          <w:color w:val="auto"/>
        </w:rPr>
      </w:pPr>
    </w:p>
    <w:p>
      <w:pPr>
        <w:pStyle w:val="29"/>
        <w:adjustRightInd w:val="0"/>
        <w:snapToGrid w:val="0"/>
        <w:ind w:firstLine="420" w:firstLineChars="200"/>
        <w:rPr>
          <w:rFonts w:hint="eastAsia" w:asciiTheme="minorEastAsia" w:hAnsiTheme="minorEastAsia" w:eastAsiaTheme="minorEastAsia" w:cstheme="minorEastAsia"/>
          <w:color w:val="auto"/>
        </w:rPr>
      </w:pPr>
      <w:bookmarkStart w:id="2" w:name="OLE_LINK1"/>
      <w:r>
        <w:rPr>
          <w:rFonts w:hint="eastAsia" w:asciiTheme="minorEastAsia" w:hAnsiTheme="minorEastAsia" w:eastAsiaTheme="minorEastAsia" w:cstheme="minorEastAsia"/>
          <w:color w:val="auto"/>
        </w:rPr>
        <w:t>湖南建业管理咨询有限公司受</w:t>
      </w:r>
      <w:r>
        <w:rPr>
          <w:rFonts w:hint="eastAsia" w:asciiTheme="minorEastAsia" w:hAnsiTheme="minorEastAsia" w:eastAsiaTheme="minorEastAsia" w:cstheme="minorEastAsia"/>
          <w:color w:val="auto"/>
          <w:lang w:eastAsia="zh-CN"/>
        </w:rPr>
        <w:t>湘潭市中心医院</w:t>
      </w:r>
      <w:r>
        <w:rPr>
          <w:rFonts w:hint="eastAsia" w:asciiTheme="minorEastAsia" w:hAnsiTheme="minorEastAsia" w:eastAsiaTheme="minorEastAsia" w:cstheme="minorEastAsia"/>
          <w:color w:val="auto"/>
        </w:rPr>
        <w:t>的委托，对</w:t>
      </w:r>
      <w:r>
        <w:rPr>
          <w:rFonts w:hint="eastAsia" w:asciiTheme="minorEastAsia" w:hAnsiTheme="minorEastAsia" w:eastAsiaTheme="minorEastAsia" w:cstheme="minorEastAsia"/>
          <w:color w:val="auto"/>
          <w:lang w:eastAsia="zh-CN"/>
        </w:rPr>
        <w:t>湘潭市中心医院核磁共振楼装饰工程</w:t>
      </w:r>
      <w:r>
        <w:rPr>
          <w:rFonts w:hint="eastAsia" w:asciiTheme="minorEastAsia" w:hAnsiTheme="minorEastAsia" w:eastAsiaTheme="minorEastAsia" w:cstheme="minorEastAsia"/>
          <w:color w:val="auto"/>
        </w:rPr>
        <w:t>进行竞争性磋商采购，现采用发布公告方式，邀请符合资格条件的供应商参与竞争性磋商采购活动。</w:t>
      </w:r>
    </w:p>
    <w:p>
      <w:pP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一、采购项目基本概况</w:t>
      </w:r>
    </w:p>
    <w:p>
      <w:pPr>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1、采购项目名称：</w:t>
      </w:r>
      <w:r>
        <w:rPr>
          <w:rFonts w:hint="eastAsia" w:asciiTheme="minorEastAsia" w:hAnsiTheme="minorEastAsia" w:eastAsiaTheme="minorEastAsia" w:cstheme="minorEastAsia"/>
          <w:color w:val="auto"/>
          <w:lang w:eastAsia="zh-CN"/>
        </w:rPr>
        <w:t>湘潭市中心医院核磁共振楼装饰工程</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、委托代理编号：</w:t>
      </w:r>
      <w:r>
        <w:rPr>
          <w:rFonts w:hint="eastAsia" w:asciiTheme="minorEastAsia" w:hAnsiTheme="minorEastAsia" w:eastAsiaTheme="minorEastAsia" w:cstheme="minorEastAsia"/>
          <w:color w:val="auto"/>
          <w:szCs w:val="21"/>
          <w:lang w:eastAsia="zh-CN"/>
        </w:rPr>
        <w:t>JYCZ201</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lang w:eastAsia="zh-CN"/>
        </w:rPr>
        <w:t>031</w:t>
      </w:r>
      <w:r>
        <w:rPr>
          <w:rFonts w:hint="eastAsia" w:asciiTheme="minorEastAsia" w:hAnsiTheme="minorEastAsia" w:eastAsiaTheme="minorEastAsia" w:cstheme="minorEastAsia"/>
          <w:color w:val="auto"/>
          <w:szCs w:val="21"/>
          <w:lang w:val="en-US" w:eastAsia="zh-CN"/>
        </w:rPr>
        <w:t>52</w:t>
      </w:r>
      <w:r>
        <w:rPr>
          <w:rFonts w:hint="eastAsia" w:asciiTheme="minorEastAsia" w:hAnsiTheme="minorEastAsia" w:eastAsiaTheme="minorEastAsia" w:cstheme="minorEastAsia"/>
          <w:color w:val="auto"/>
          <w:szCs w:val="21"/>
        </w:rPr>
        <w:t xml:space="preserve">  </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、采购项目标的、数量及预算：</w:t>
      </w:r>
    </w:p>
    <w:tbl>
      <w:tblPr>
        <w:tblStyle w:val="6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543"/>
        <w:gridCol w:w="146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386"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包/品目号</w:t>
            </w:r>
          </w:p>
        </w:tc>
        <w:tc>
          <w:tcPr>
            <w:tcW w:w="3543"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标的名称</w:t>
            </w:r>
          </w:p>
        </w:tc>
        <w:tc>
          <w:tcPr>
            <w:tcW w:w="1462"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数量</w:t>
            </w:r>
          </w:p>
        </w:tc>
        <w:tc>
          <w:tcPr>
            <w:tcW w:w="2131"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6" w:type="dxa"/>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543"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lang w:eastAsia="zh-CN"/>
              </w:rPr>
            </w:pPr>
            <w:r>
              <w:rPr>
                <w:rFonts w:hint="eastAsia" w:asciiTheme="minorEastAsia" w:hAnsiTheme="minorEastAsia" w:eastAsiaTheme="minorEastAsia" w:cstheme="minorEastAsia"/>
                <w:color w:val="auto"/>
                <w:sz w:val="22"/>
                <w:szCs w:val="21"/>
                <w:lang w:eastAsia="zh-CN"/>
              </w:rPr>
              <w:t>湘潭市中心医院核磁共振楼装饰工程</w:t>
            </w:r>
          </w:p>
        </w:tc>
        <w:tc>
          <w:tcPr>
            <w:tcW w:w="1462" w:type="dxa"/>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131" w:type="dxa"/>
            <w:vAlign w:val="center"/>
          </w:tcPr>
          <w:p>
            <w:pPr>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3991530.63 </w:t>
            </w:r>
          </w:p>
        </w:tc>
      </w:tr>
    </w:tbl>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、采购项目的主要需求及竞争性磋商可能实质性变动内容：</w:t>
      </w:r>
    </w:p>
    <w:tbl>
      <w:tblPr>
        <w:tblStyle w:val="6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19"/>
        <w:gridCol w:w="1650"/>
        <w:gridCol w:w="292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包/品目号</w:t>
            </w:r>
          </w:p>
        </w:tc>
        <w:tc>
          <w:tcPr>
            <w:tcW w:w="1319" w:type="dxa"/>
            <w:vMerge w:val="restart"/>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标的物名称</w:t>
            </w:r>
          </w:p>
        </w:tc>
        <w:tc>
          <w:tcPr>
            <w:tcW w:w="5961" w:type="dxa"/>
            <w:gridSpan w:val="3"/>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标的主要需求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p>
        </w:tc>
        <w:tc>
          <w:tcPr>
            <w:tcW w:w="1319" w:type="dxa"/>
            <w:vMerge w:val="continue"/>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p>
        </w:tc>
        <w:tc>
          <w:tcPr>
            <w:tcW w:w="1650"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技术</w:t>
            </w:r>
          </w:p>
        </w:tc>
        <w:tc>
          <w:tcPr>
            <w:tcW w:w="2925"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服务</w:t>
            </w:r>
          </w:p>
        </w:tc>
        <w:tc>
          <w:tcPr>
            <w:tcW w:w="1386"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1</w:t>
            </w:r>
          </w:p>
        </w:tc>
        <w:tc>
          <w:tcPr>
            <w:tcW w:w="1319"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lang w:eastAsia="zh-CN"/>
              </w:rPr>
            </w:pPr>
            <w:r>
              <w:rPr>
                <w:rFonts w:hint="eastAsia" w:asciiTheme="minorEastAsia" w:hAnsiTheme="minorEastAsia" w:eastAsiaTheme="minorEastAsia" w:cstheme="minorEastAsia"/>
                <w:color w:val="auto"/>
                <w:sz w:val="22"/>
                <w:szCs w:val="21"/>
                <w:lang w:eastAsia="zh-CN"/>
              </w:rPr>
              <w:t>湘潭市中心医院核磁共振楼装饰工程</w:t>
            </w:r>
          </w:p>
        </w:tc>
        <w:tc>
          <w:tcPr>
            <w:tcW w:w="1650"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lang w:eastAsia="zh-CN"/>
              </w:rPr>
            </w:pPr>
            <w:r>
              <w:rPr>
                <w:rFonts w:hint="eastAsia" w:asciiTheme="minorEastAsia" w:hAnsiTheme="minorEastAsia" w:eastAsiaTheme="minorEastAsia" w:cstheme="minorEastAsia"/>
                <w:color w:val="auto"/>
                <w:sz w:val="22"/>
                <w:szCs w:val="21"/>
                <w:lang w:eastAsia="zh-CN"/>
              </w:rPr>
              <w:t>湘潭市中心医院核磁共振楼装饰工程</w:t>
            </w:r>
          </w:p>
        </w:tc>
        <w:tc>
          <w:tcPr>
            <w:tcW w:w="2925"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rPr>
              <w:t>（详见采购需求）</w:t>
            </w:r>
          </w:p>
        </w:tc>
        <w:tc>
          <w:tcPr>
            <w:tcW w:w="1386" w:type="dxa"/>
            <w:vAlign w:val="center"/>
          </w:tcPr>
          <w:p>
            <w:pPr>
              <w:pStyle w:val="47"/>
              <w:spacing w:before="0" w:beforeAutospacing="0" w:after="0" w:afterAutospacing="0" w:line="420" w:lineRule="atLeast"/>
              <w:jc w:val="center"/>
              <w:rPr>
                <w:rFonts w:hint="eastAsia" w:asciiTheme="minorEastAsia" w:hAnsiTheme="minorEastAsia" w:eastAsiaTheme="minorEastAsia" w:cstheme="minorEastAsia"/>
                <w:color w:val="auto"/>
                <w:sz w:val="22"/>
                <w:szCs w:val="21"/>
              </w:rPr>
            </w:pPr>
            <w:r>
              <w:rPr>
                <w:rFonts w:hint="eastAsia" w:asciiTheme="minorEastAsia" w:hAnsiTheme="minorEastAsia" w:eastAsiaTheme="minorEastAsia" w:cstheme="minorEastAsia"/>
                <w:color w:val="auto"/>
                <w:sz w:val="22"/>
                <w:szCs w:val="21"/>
              </w:rPr>
              <w:t>以合同签订为准</w:t>
            </w:r>
          </w:p>
        </w:tc>
      </w:tr>
    </w:tbl>
    <w:p>
      <w:pPr>
        <w:ind w:firstLine="420" w:firstLineChars="200"/>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二、供应商资格条件：</w:t>
      </w:r>
    </w:p>
    <w:p>
      <w:pPr>
        <w:ind w:firstLine="426" w:firstLineChars="202"/>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1、供应商基本资格条件：</w:t>
      </w:r>
    </w:p>
    <w:p>
      <w:pPr>
        <w:adjustRightInd w:val="0"/>
        <w:snapToGrid w:val="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1.1投标人须为在中华人民共和国境内合法注册且存续有效的独立法人；</w:t>
      </w:r>
    </w:p>
    <w:p>
      <w:pPr>
        <w:adjustRightInd w:val="0"/>
        <w:snapToGrid w:val="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1.2投标人不得直接或间接地与</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为本项目所委托的咨询公司或其附属机构有任何关联；</w:t>
      </w:r>
    </w:p>
    <w:p>
      <w:pPr>
        <w:adjustRightInd w:val="0"/>
        <w:snapToGrid w:val="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1.3法定代表人为同一个人的两个或两个以上法人，母公司、全资子公司及其控股公司等关联公司不得在本项目中同时投标；</w:t>
      </w:r>
    </w:p>
    <w:p>
      <w:pPr>
        <w:adjustRightInd w:val="0"/>
        <w:snapToGrid w:val="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1.4.法人提交法定代表人资格证明书复印件或者法定代表人授权委托书原件并附法定代表人及被授权人身份证明复印件</w:t>
      </w:r>
      <w:r>
        <w:rPr>
          <w:rFonts w:hint="eastAsia" w:asciiTheme="minorEastAsia" w:hAnsiTheme="minorEastAsia" w:eastAsiaTheme="minorEastAsia" w:cstheme="minorEastAsia"/>
          <w:color w:val="auto"/>
          <w:spacing w:val="-10"/>
        </w:rPr>
        <w:t>，自然人提交身份证复印件</w:t>
      </w:r>
      <w:r>
        <w:rPr>
          <w:rFonts w:hint="eastAsia" w:asciiTheme="minorEastAsia" w:hAnsiTheme="minorEastAsia" w:eastAsiaTheme="minorEastAsia" w:cstheme="minorEastAsia"/>
          <w:color w:val="auto"/>
          <w:szCs w:val="21"/>
        </w:rPr>
        <w:t>；</w:t>
      </w:r>
    </w:p>
    <w:p>
      <w:pPr>
        <w:adjustRightInd w:val="0"/>
        <w:snapToGrid w:val="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 法人提交企业法人营业执照副本 (或者法人登记证书)以及组织机构代码证副本复印件；</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依法缴纳税收和社会保险费的证明材料》提供下列材料之一；①《税务登记证》和《社会保险登记证》复印件；②近三个月依法缴纳税收和社会保险的证明（纳税及缴费凭证复印件）；③委托他人缴纳的委托代办协议和近三个月的缴纳证明（收据复印件）；④法定征收机构出具的依法免缴收费的证明原件。</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1.7参加采购活动前三年内在经营活动中没有重大违法记录的书面声明；</w:t>
      </w:r>
    </w:p>
    <w:p>
      <w:pPr>
        <w:ind w:firstLine="424" w:firstLineChars="202"/>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1.8</w:t>
      </w:r>
      <w:r>
        <w:rPr>
          <w:rFonts w:hint="eastAsia" w:asciiTheme="minorEastAsia" w:hAnsiTheme="minorEastAsia" w:eastAsiaTheme="minorEastAsia" w:cstheme="minorEastAsia"/>
          <w:color w:val="auto"/>
          <w:szCs w:val="21"/>
        </w:rPr>
        <w:t>申请人未列入失信被执行人、重大税收违法案件当事人名单、政府采购严重违法失信行为记录名单的书面承诺（格式自拟），并附经“信用中国”（ http://www.creditchina.gov.cn/ ）网站或“中国政府采购网网站”（http://www.ccgp.gov.cn/ ）查询记录。</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法律、行政法规规定的其他条件的证明材料。</w:t>
      </w:r>
    </w:p>
    <w:p>
      <w:pPr>
        <w:ind w:firstLine="426" w:firstLineChars="202"/>
        <w:rPr>
          <w:rFonts w:hint="eastAsia" w:asciiTheme="minorEastAsia" w:hAnsiTheme="minorEastAsia" w:eastAsiaTheme="minorEastAsia" w:cstheme="minorEastAsia"/>
          <w:b w:val="0"/>
          <w:bCs/>
          <w:color w:val="auto"/>
          <w:szCs w:val="21"/>
          <w:lang w:eastAsia="zh-CN"/>
        </w:rPr>
      </w:pPr>
      <w:r>
        <w:rPr>
          <w:rFonts w:hint="eastAsia" w:asciiTheme="minorEastAsia" w:hAnsiTheme="minorEastAsia" w:eastAsiaTheme="minorEastAsia" w:cstheme="minorEastAsia"/>
          <w:b/>
          <w:color w:val="auto"/>
          <w:szCs w:val="21"/>
        </w:rPr>
        <w:t>2、供应商特定资格条件：</w:t>
      </w:r>
      <w:r>
        <w:rPr>
          <w:rFonts w:hint="eastAsia" w:asciiTheme="minorEastAsia" w:hAnsiTheme="minorEastAsia" w:eastAsiaTheme="minorEastAsia" w:cstheme="minorEastAsia"/>
          <w:color w:val="auto"/>
        </w:rPr>
        <w:t>具备建设行政主管部门颁发的</w:t>
      </w:r>
      <w:r>
        <w:rPr>
          <w:rFonts w:hint="eastAsia" w:asciiTheme="minorEastAsia" w:hAnsiTheme="minorEastAsia" w:eastAsiaTheme="minorEastAsia" w:cstheme="minorEastAsia"/>
          <w:b w:val="0"/>
          <w:bCs/>
          <w:color w:val="auto"/>
          <w:szCs w:val="21"/>
          <w:lang w:eastAsia="zh-CN"/>
        </w:rPr>
        <w:t>建筑工程施工总承包叁级及以上资质企业，安全生产许可证处于有效期，项目负责人具有建筑工程专业贰级及以上注册建造师执业资格，具备有效的项目负责人安全生产考核合格证书；</w:t>
      </w:r>
    </w:p>
    <w:p>
      <w:pPr>
        <w:ind w:firstLine="426" w:firstLineChars="202"/>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3、本项目不接受联合体投标。</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三、投标保证金：</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1、投标保证金的金额为</w:t>
      </w:r>
      <w:r>
        <w:rPr>
          <w:rFonts w:hint="eastAsia" w:asciiTheme="minorEastAsia" w:hAnsiTheme="minorEastAsia" w:eastAsiaTheme="minorEastAsia" w:cstheme="minorEastAsia"/>
          <w:color w:val="auto"/>
          <w:szCs w:val="21"/>
          <w:lang w:eastAsia="zh-CN"/>
        </w:rPr>
        <w:t>柒万</w:t>
      </w:r>
      <w:r>
        <w:rPr>
          <w:rFonts w:hint="eastAsia" w:asciiTheme="minorEastAsia" w:hAnsiTheme="minorEastAsia" w:eastAsiaTheme="minorEastAsia" w:cstheme="minorEastAsia"/>
          <w:color w:val="auto"/>
          <w:szCs w:val="21"/>
        </w:rPr>
        <w:t>元整（人民币</w:t>
      </w:r>
      <w:r>
        <w:rPr>
          <w:rFonts w:hint="eastAsia" w:asciiTheme="minorEastAsia" w:hAnsiTheme="minorEastAsia" w:eastAsiaTheme="minorEastAsia" w:cstheme="minorEastAsia"/>
          <w:color w:val="auto"/>
          <w:szCs w:val="21"/>
          <w:lang w:val="en-US" w:eastAsia="zh-CN"/>
        </w:rPr>
        <w:t>70000</w:t>
      </w:r>
      <w:r>
        <w:rPr>
          <w:rFonts w:hint="eastAsia" w:asciiTheme="minorEastAsia" w:hAnsiTheme="minorEastAsia" w:eastAsiaTheme="minorEastAsia" w:cstheme="minorEastAsia"/>
          <w:color w:val="auto"/>
          <w:szCs w:val="21"/>
        </w:rPr>
        <w:t>元整）。</w:t>
      </w:r>
    </w:p>
    <w:p>
      <w:pPr>
        <w:ind w:firstLine="424" w:firstLineChars="202"/>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投标人必须以企业法人的名义提交投标保证金。在投标截止前按照湘潭市公共资源交易电子化平台要求由投标人基本账户转入本投标单位申请到的投标保证金收款账户。（详见</w:t>
      </w:r>
      <w:r>
        <w:rPr>
          <w:rFonts w:hint="eastAsia" w:asciiTheme="minorEastAsia" w:hAnsiTheme="minorEastAsia" w:eastAsiaTheme="minorEastAsia" w:cstheme="minorEastAsia"/>
          <w:color w:val="auto"/>
          <w:szCs w:val="21"/>
          <w:lang w:eastAsia="zh-CN"/>
        </w:rPr>
        <w:fldChar w:fldCharType="begin"/>
      </w:r>
      <w:r>
        <w:rPr>
          <w:rFonts w:hint="eastAsia" w:asciiTheme="minorEastAsia" w:hAnsiTheme="minorEastAsia" w:eastAsiaTheme="minorEastAsia" w:cstheme="minorEastAsia"/>
          <w:color w:val="auto"/>
          <w:szCs w:val="21"/>
          <w:lang w:eastAsia="zh-CN"/>
        </w:rPr>
        <w:instrText xml:space="preserve">HYPERLINK "http://ggzy.xiangtan.gov.cn/zlxz/3480.jhtml"</w:instrText>
      </w:r>
      <w:r>
        <w:rPr>
          <w:rFonts w:hint="eastAsia" w:asciiTheme="minorEastAsia" w:hAnsiTheme="minorEastAsia" w:eastAsiaTheme="minorEastAsia" w:cstheme="minorEastAsia"/>
          <w:color w:val="auto"/>
          <w:szCs w:val="21"/>
          <w:lang w:eastAsia="zh-CN"/>
        </w:rPr>
        <w:fldChar w:fldCharType="separate"/>
      </w:r>
      <w:r>
        <w:rPr>
          <w:rFonts w:hint="eastAsia" w:asciiTheme="minorEastAsia" w:hAnsiTheme="minorEastAsia" w:eastAsiaTheme="minorEastAsia" w:cstheme="minorEastAsia"/>
          <w:color w:val="auto"/>
          <w:szCs w:val="21"/>
          <w:lang w:eastAsia="zh-CN"/>
        </w:rPr>
        <w:t>http://ggzy.xiangtan.gov.cn/zlxz/3480.jhtml</w:t>
      </w:r>
      <w:r>
        <w:rPr>
          <w:rFonts w:hint="eastAsia" w:asciiTheme="minorEastAsia" w:hAnsiTheme="minorEastAsia" w:eastAsiaTheme="minorEastAsia" w:cstheme="minorEastAsia"/>
          <w:color w:val="auto"/>
          <w:szCs w:val="21"/>
          <w:lang w:eastAsia="zh-CN"/>
        </w:rPr>
        <w:fldChar w:fldCharType="end"/>
      </w:r>
      <w:r>
        <w:rPr>
          <w:rFonts w:hint="eastAsia" w:asciiTheme="minorEastAsia" w:hAnsiTheme="minorEastAsia" w:eastAsiaTheme="minorEastAsia" w:cstheme="minorEastAsia"/>
          <w:color w:val="auto"/>
          <w:szCs w:val="21"/>
          <w:lang w:eastAsia="zh-CN"/>
        </w:rPr>
        <w:t>）</w:t>
      </w:r>
    </w:p>
    <w:p>
      <w:pPr>
        <w:ind w:firstLine="424" w:firstLineChars="202"/>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 xml:space="preserve">    各投标人需在递交投标保证金前确保本单位在湘潭市公共资源交易电子化平台系统中录入的基本账户与本企业的基本账户一致，如存在不一致的情况，需要及时到信息管理科进行变更备案。</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投标保证金到账截止时间同投标截止时间，转账凭证于开标现场递交。</w:t>
      </w:r>
    </w:p>
    <w:p>
      <w:pP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四、获取磋商文件的时间、地点、方式及磋商文件售价</w:t>
      </w:r>
    </w:p>
    <w:p>
      <w:pPr>
        <w:spacing w:line="360" w:lineRule="auto"/>
        <w:ind w:firstLine="420" w:firstLineChars="200"/>
        <w:rPr>
          <w:rFonts w:hint="eastAsia" w:asciiTheme="minorEastAsia" w:hAnsiTheme="minorEastAsia" w:eastAsiaTheme="minorEastAsia" w:cstheme="minorEastAsia"/>
          <w:snapToGrid w:val="0"/>
          <w:color w:val="auto"/>
          <w:lang w:eastAsia="zh-CN"/>
        </w:rPr>
      </w:pPr>
      <w:r>
        <w:rPr>
          <w:rFonts w:hint="eastAsia" w:asciiTheme="minorEastAsia" w:hAnsiTheme="minorEastAsia" w:eastAsiaTheme="minorEastAsia" w:cstheme="minorEastAsia"/>
          <w:snapToGrid w:val="0"/>
          <w:color w:val="auto"/>
          <w:lang w:eastAsia="zh-CN"/>
        </w:rPr>
        <w:t>1、凡有意参加投标者，请于201</w:t>
      </w:r>
      <w:r>
        <w:rPr>
          <w:rFonts w:hint="eastAsia" w:asciiTheme="minorEastAsia" w:hAnsiTheme="minorEastAsia" w:eastAsiaTheme="minorEastAsia" w:cstheme="minorEastAsia"/>
          <w:snapToGrid w:val="0"/>
          <w:color w:val="auto"/>
          <w:lang w:val="en-US" w:eastAsia="zh-CN"/>
        </w:rPr>
        <w:t>9</w:t>
      </w:r>
      <w:r>
        <w:rPr>
          <w:rFonts w:hint="eastAsia" w:asciiTheme="minorEastAsia" w:hAnsiTheme="minorEastAsia" w:eastAsiaTheme="minorEastAsia" w:cstheme="minorEastAsia"/>
          <w:snapToGrid w:val="0"/>
          <w:color w:val="auto"/>
          <w:lang w:eastAsia="zh-CN"/>
        </w:rPr>
        <w:t>年1月</w:t>
      </w:r>
      <w:r>
        <w:rPr>
          <w:rFonts w:hint="eastAsia" w:asciiTheme="minorEastAsia" w:hAnsiTheme="minorEastAsia" w:eastAsiaTheme="minorEastAsia" w:cstheme="minorEastAsia"/>
          <w:snapToGrid w:val="0"/>
          <w:color w:val="auto"/>
          <w:lang w:val="en-US" w:eastAsia="zh-CN"/>
        </w:rPr>
        <w:t>9</w:t>
      </w:r>
      <w:r>
        <w:rPr>
          <w:rFonts w:hint="eastAsia" w:asciiTheme="minorEastAsia" w:hAnsiTheme="minorEastAsia" w:eastAsiaTheme="minorEastAsia" w:cstheme="minorEastAsia"/>
          <w:snapToGrid w:val="0"/>
          <w:color w:val="auto"/>
          <w:lang w:eastAsia="zh-CN"/>
        </w:rPr>
        <w:t>日起至201</w:t>
      </w:r>
      <w:r>
        <w:rPr>
          <w:rFonts w:hint="eastAsia" w:asciiTheme="minorEastAsia" w:hAnsiTheme="minorEastAsia" w:eastAsiaTheme="minorEastAsia" w:cstheme="minorEastAsia"/>
          <w:snapToGrid w:val="0"/>
          <w:color w:val="auto"/>
          <w:lang w:val="en-US" w:eastAsia="zh-CN"/>
        </w:rPr>
        <w:t>9</w:t>
      </w:r>
      <w:r>
        <w:rPr>
          <w:rFonts w:hint="eastAsia" w:asciiTheme="minorEastAsia" w:hAnsiTheme="minorEastAsia" w:eastAsiaTheme="minorEastAsia" w:cstheme="minorEastAsia"/>
          <w:snapToGrid w:val="0"/>
          <w:color w:val="auto"/>
          <w:lang w:eastAsia="zh-CN"/>
        </w:rPr>
        <w:t>年1月</w:t>
      </w:r>
      <w:r>
        <w:rPr>
          <w:rFonts w:hint="eastAsia" w:asciiTheme="minorEastAsia" w:hAnsiTheme="minorEastAsia" w:eastAsiaTheme="minorEastAsia" w:cstheme="minorEastAsia"/>
          <w:snapToGrid w:val="0"/>
          <w:color w:val="auto"/>
          <w:lang w:val="en-US" w:eastAsia="zh-CN"/>
        </w:rPr>
        <w:t>16</w:t>
      </w:r>
      <w:r>
        <w:rPr>
          <w:rFonts w:hint="eastAsia" w:asciiTheme="minorEastAsia" w:hAnsiTheme="minorEastAsia" w:eastAsiaTheme="minorEastAsia" w:cstheme="minorEastAsia"/>
          <w:snapToGrid w:val="0"/>
          <w:color w:val="auto"/>
          <w:lang w:eastAsia="zh-CN"/>
        </w:rPr>
        <w:t>日，每日上午8时</w:t>
      </w:r>
      <w:r>
        <w:rPr>
          <w:rFonts w:hint="eastAsia" w:asciiTheme="minorEastAsia" w:hAnsiTheme="minorEastAsia" w:eastAsiaTheme="minorEastAsia" w:cstheme="minorEastAsia"/>
          <w:snapToGrid w:val="0"/>
          <w:color w:val="auto"/>
          <w:lang w:val="en-US" w:eastAsia="zh-CN"/>
        </w:rPr>
        <w:t>3</w:t>
      </w:r>
      <w:r>
        <w:rPr>
          <w:rFonts w:hint="eastAsia" w:asciiTheme="minorEastAsia" w:hAnsiTheme="minorEastAsia" w:eastAsiaTheme="minorEastAsia" w:cstheme="minorEastAsia"/>
          <w:snapToGrid w:val="0"/>
          <w:color w:val="auto"/>
          <w:lang w:eastAsia="zh-CN"/>
        </w:rPr>
        <w:t>0分到下午17时00分(北京时间，节假日除外)在湘潭市公共资源交易中心网站http://ggzy.xiangtan.gov.cn/进行网上下载/获取相应招标文件,投标人须在该时间段内按相关要求完成本项目报名。通过网络下载，其招标文件与备案的书面招标文件、图纸具有同等法律效力。</w:t>
      </w:r>
    </w:p>
    <w:p>
      <w:pPr>
        <w:spacing w:line="360" w:lineRule="auto"/>
        <w:ind w:firstLine="420" w:firstLineChars="200"/>
        <w:rPr>
          <w:rFonts w:hint="eastAsia" w:asciiTheme="minorEastAsia" w:hAnsiTheme="minorEastAsia" w:eastAsiaTheme="minorEastAsia" w:cstheme="minorEastAsia"/>
          <w:snapToGrid w:val="0"/>
          <w:color w:val="auto"/>
          <w:lang w:eastAsia="zh-CN"/>
        </w:rPr>
      </w:pPr>
      <w:r>
        <w:rPr>
          <w:rFonts w:hint="eastAsia" w:asciiTheme="minorEastAsia" w:hAnsiTheme="minorEastAsia" w:eastAsiaTheme="minorEastAsia" w:cstheme="minorEastAsia"/>
          <w:snapToGrid w:val="0"/>
          <w:color w:val="auto"/>
          <w:lang w:eastAsia="zh-CN"/>
        </w:rPr>
        <w:t>2、所有投标申请人须在201</w:t>
      </w:r>
      <w:r>
        <w:rPr>
          <w:rFonts w:hint="eastAsia" w:asciiTheme="minorEastAsia" w:hAnsiTheme="minorEastAsia" w:eastAsiaTheme="minorEastAsia" w:cstheme="minorEastAsia"/>
          <w:snapToGrid w:val="0"/>
          <w:color w:val="auto"/>
          <w:lang w:val="en-US" w:eastAsia="zh-CN"/>
        </w:rPr>
        <w:t>9</w:t>
      </w:r>
      <w:r>
        <w:rPr>
          <w:rFonts w:hint="eastAsia" w:asciiTheme="minorEastAsia" w:hAnsiTheme="minorEastAsia" w:eastAsiaTheme="minorEastAsia" w:cstheme="minorEastAsia"/>
          <w:snapToGrid w:val="0"/>
          <w:color w:val="auto"/>
          <w:lang w:eastAsia="zh-CN"/>
        </w:rPr>
        <w:t>年</w:t>
      </w:r>
      <w:r>
        <w:rPr>
          <w:rFonts w:hint="eastAsia" w:asciiTheme="minorEastAsia" w:hAnsiTheme="minorEastAsia" w:eastAsiaTheme="minorEastAsia" w:cstheme="minorEastAsia"/>
          <w:snapToGrid w:val="0"/>
          <w:color w:val="auto"/>
          <w:lang w:val="en-US" w:eastAsia="zh-CN"/>
        </w:rPr>
        <w:t>1</w:t>
      </w:r>
      <w:r>
        <w:rPr>
          <w:rFonts w:hint="eastAsia" w:asciiTheme="minorEastAsia" w:hAnsiTheme="minorEastAsia" w:eastAsiaTheme="minorEastAsia" w:cstheme="minorEastAsia"/>
          <w:snapToGrid w:val="0"/>
          <w:color w:val="auto"/>
          <w:lang w:eastAsia="zh-CN"/>
        </w:rPr>
        <w:t>月</w:t>
      </w:r>
      <w:r>
        <w:rPr>
          <w:rFonts w:hint="eastAsia" w:asciiTheme="minorEastAsia" w:hAnsiTheme="minorEastAsia" w:eastAsiaTheme="minorEastAsia" w:cstheme="minorEastAsia"/>
          <w:snapToGrid w:val="0"/>
          <w:color w:val="auto"/>
          <w:lang w:val="en-US" w:eastAsia="zh-CN"/>
        </w:rPr>
        <w:t>16</w:t>
      </w:r>
      <w:r>
        <w:rPr>
          <w:rFonts w:hint="eastAsia" w:asciiTheme="minorEastAsia" w:hAnsiTheme="minorEastAsia" w:eastAsiaTheme="minorEastAsia" w:cstheme="minorEastAsia"/>
          <w:snapToGrid w:val="0"/>
          <w:color w:val="auto"/>
          <w:lang w:eastAsia="zh-CN"/>
        </w:rPr>
        <w:t>日17时00分（北京时间）前在湘潭市公共资源交易中心网站(http://ggzy.xiangtan.gov.cn)完成企业注册，同时办理湖南数字认证CA证书。</w:t>
      </w:r>
    </w:p>
    <w:p>
      <w:pPr>
        <w:spacing w:line="360" w:lineRule="auto"/>
        <w:ind w:firstLine="420" w:firstLineChars="200"/>
        <w:rPr>
          <w:rFonts w:hint="eastAsia" w:asciiTheme="minorEastAsia" w:hAnsiTheme="minorEastAsia" w:eastAsiaTheme="minorEastAsia" w:cstheme="minorEastAsia"/>
          <w:snapToGrid w:val="0"/>
          <w:color w:val="auto"/>
          <w:lang w:eastAsia="zh-CN"/>
        </w:rPr>
      </w:pPr>
      <w:r>
        <w:rPr>
          <w:rFonts w:hint="eastAsia" w:asciiTheme="minorEastAsia" w:hAnsiTheme="minorEastAsia" w:eastAsiaTheme="minorEastAsia" w:cstheme="minorEastAsia"/>
          <w:snapToGrid w:val="0"/>
          <w:color w:val="auto"/>
          <w:lang w:eastAsia="zh-CN"/>
        </w:rPr>
        <w:t>3、投标申请人完成企业注册后直接用CA数字证书登录湘潭市公共资源交易电子化平台（http://ggzy.xiangtan.gov.cn），在上述规定的时间内按照湘潭市公共资源交易电子化平台相关要求完成本项目的网上报名。</w:t>
      </w:r>
      <w:r>
        <w:rPr>
          <w:rFonts w:hint="eastAsia" w:asciiTheme="minorEastAsia" w:hAnsiTheme="minorEastAsia" w:eastAsiaTheme="minorEastAsia" w:cstheme="minorEastAsia"/>
          <w:snapToGrid w:val="0"/>
          <w:color w:val="auto"/>
          <w:lang w:eastAsia="zh-CN"/>
        </w:rPr>
        <w:br w:type="textWrapping"/>
      </w:r>
      <w:r>
        <w:rPr>
          <w:rFonts w:hint="eastAsia" w:asciiTheme="minorEastAsia" w:hAnsiTheme="minorEastAsia" w:eastAsiaTheme="minorEastAsia" w:cstheme="minorEastAsia"/>
          <w:snapToGrid w:val="0"/>
          <w:color w:val="auto"/>
          <w:lang w:eastAsia="zh-CN"/>
        </w:rPr>
        <w:t xml:space="preserve">    4、招标文件每套售价为400元，递交投标文件时向招标代理机构缴纳。</w:t>
      </w:r>
    </w:p>
    <w:p>
      <w:pPr>
        <w:spacing w:line="360" w:lineRule="auto"/>
        <w:ind w:firstLine="420" w:firstLineChars="200"/>
        <w:rPr>
          <w:rFonts w:hint="eastAsia" w:asciiTheme="minorEastAsia" w:hAnsiTheme="minorEastAsia" w:eastAsiaTheme="minorEastAsia" w:cstheme="minorEastAsia"/>
          <w:snapToGrid w:val="0"/>
          <w:color w:val="auto"/>
          <w:lang w:eastAsia="zh-CN"/>
        </w:rPr>
      </w:pPr>
      <w:r>
        <w:rPr>
          <w:rFonts w:hint="eastAsia" w:asciiTheme="minorEastAsia" w:hAnsiTheme="minorEastAsia" w:eastAsiaTheme="minorEastAsia" w:cstheme="minorEastAsia"/>
          <w:snapToGrid w:val="0"/>
          <w:color w:val="auto"/>
          <w:lang w:eastAsia="zh-CN"/>
        </w:rPr>
        <w:t>5、澄清答疑采用网上发布方式。采购人对招标文件的澄清答疑和补充通知等均采用在湖南省政府采购网、湘潭市政府采购网、湘潭市公共资源交易中心网站http://ggzy.xiangtan.gov.cn/上发布。</w:t>
      </w:r>
    </w:p>
    <w:p>
      <w:pPr>
        <w:spacing w:line="360" w:lineRule="auto"/>
        <w:ind w:firstLine="420" w:firstLineChars="200"/>
        <w:rPr>
          <w:rFonts w:hint="eastAsia" w:asciiTheme="minorEastAsia" w:hAnsiTheme="minorEastAsia" w:eastAsiaTheme="minorEastAsia" w:cstheme="minorEastAsia"/>
          <w:snapToGrid w:val="0"/>
          <w:color w:val="auto"/>
          <w:lang w:eastAsia="zh-CN"/>
        </w:rPr>
      </w:pPr>
      <w:r>
        <w:rPr>
          <w:rFonts w:hint="eastAsia" w:asciiTheme="minorEastAsia" w:hAnsiTheme="minorEastAsia" w:eastAsiaTheme="minorEastAsia" w:cstheme="minorEastAsia"/>
          <w:snapToGrid w:val="0"/>
          <w:color w:val="auto"/>
          <w:lang w:eastAsia="zh-CN"/>
        </w:rPr>
        <w:t>6、投标人应自行在湘潭市公共资源交易中心网站http://ggzy.xiangtan.gov.cn/上下载/获取招标文件、招标文件的澄清答疑等相关招标资料，恕不另行通知。投标人应及时关注网上相关招标信息，如有遗漏（包括但不限于文件未下载或下载不完整）采购人概不负责，所造成的投标失败或损失由投标人自行负责。</w:t>
      </w:r>
    </w:p>
    <w:p>
      <w:pPr>
        <w:spacing w:line="360" w:lineRule="auto"/>
        <w:ind w:firstLine="420" w:firstLineChars="200"/>
        <w:rPr>
          <w:rFonts w:hint="eastAsia" w:asciiTheme="minorEastAsia" w:hAnsiTheme="minorEastAsia" w:eastAsiaTheme="minorEastAsia" w:cstheme="minorEastAsia"/>
          <w:snapToGrid w:val="0"/>
          <w:color w:val="auto"/>
          <w:lang w:eastAsia="zh-CN"/>
        </w:rPr>
      </w:pPr>
      <w:r>
        <w:rPr>
          <w:rFonts w:hint="eastAsia" w:asciiTheme="minorEastAsia" w:hAnsiTheme="minorEastAsia" w:eastAsiaTheme="minorEastAsia" w:cstheme="minorEastAsia"/>
          <w:snapToGrid w:val="0"/>
          <w:color w:val="auto"/>
          <w:lang w:eastAsia="zh-CN"/>
        </w:rPr>
        <w:t>7、经采购人授权，</w:t>
      </w:r>
      <w:r>
        <w:rPr>
          <w:rFonts w:hint="eastAsia" w:asciiTheme="minorEastAsia" w:hAnsiTheme="minorEastAsia" w:eastAsiaTheme="minorEastAsia" w:cstheme="minorEastAsia"/>
          <w:color w:val="auto"/>
        </w:rPr>
        <w:t>采购代理机构按照相关规定向成交人收取</w:t>
      </w:r>
      <w:r>
        <w:rPr>
          <w:rFonts w:hint="eastAsia" w:asciiTheme="minorEastAsia" w:hAnsiTheme="minorEastAsia" w:eastAsiaTheme="minorEastAsia" w:cstheme="minorEastAsia"/>
          <w:color w:val="auto"/>
          <w:lang w:eastAsia="zh-CN"/>
        </w:rPr>
        <w:t>中标</w:t>
      </w:r>
      <w:r>
        <w:rPr>
          <w:rFonts w:hint="eastAsia" w:asciiTheme="minorEastAsia" w:hAnsiTheme="minorEastAsia" w:eastAsiaTheme="minorEastAsia" w:cstheme="minorEastAsia"/>
          <w:color w:val="auto"/>
        </w:rPr>
        <w:t>服务费人民币¥</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37900</w:t>
      </w:r>
      <w:r>
        <w:rPr>
          <w:rFonts w:hint="eastAsia" w:asciiTheme="minorEastAsia" w:hAnsiTheme="minorEastAsia" w:eastAsiaTheme="minorEastAsia" w:cstheme="minorEastAsia"/>
          <w:color w:val="auto"/>
        </w:rPr>
        <w:t>元整</w:t>
      </w:r>
      <w:r>
        <w:rPr>
          <w:rFonts w:hint="eastAsia" w:asciiTheme="minorEastAsia" w:hAnsiTheme="minorEastAsia" w:eastAsiaTheme="minorEastAsia" w:cstheme="minorEastAsia"/>
          <w:snapToGrid w:val="0"/>
          <w:color w:val="auto"/>
          <w:lang w:eastAsia="zh-CN"/>
        </w:rPr>
        <w:t>。</w:t>
      </w:r>
    </w:p>
    <w:p>
      <w:pP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五、响应文件提交的截止时间、开启时间及地点</w:t>
      </w:r>
    </w:p>
    <w:p>
      <w:pPr>
        <w:adjustRightInd w:val="0"/>
        <w:snapToGrid w:val="0"/>
        <w:spacing w:before="157" w:beforeLines="50" w:line="360" w:lineRule="auto"/>
        <w:ind w:firstLine="555"/>
        <w:rPr>
          <w:rFonts w:hint="eastAsia" w:asciiTheme="minorEastAsia" w:hAnsiTheme="minorEastAsia" w:eastAsiaTheme="minorEastAsia" w:cstheme="minorEastAsia"/>
          <w:snapToGrid w:val="0"/>
          <w:color w:val="auto"/>
          <w:lang w:eastAsia="zh-CN"/>
        </w:rPr>
      </w:pPr>
      <w:r>
        <w:rPr>
          <w:rFonts w:hint="eastAsia" w:asciiTheme="minorEastAsia" w:hAnsiTheme="minorEastAsia" w:eastAsiaTheme="minorEastAsia" w:cstheme="minorEastAsia"/>
          <w:color w:val="auto"/>
          <w:szCs w:val="21"/>
        </w:rPr>
        <w:t>1、竞争性磋商文件</w:t>
      </w:r>
      <w:r>
        <w:rPr>
          <w:rFonts w:hint="eastAsia" w:asciiTheme="minorEastAsia" w:hAnsiTheme="minorEastAsia" w:eastAsiaTheme="minorEastAsia" w:cstheme="minorEastAsia"/>
          <w:snapToGrid w:val="0"/>
          <w:color w:val="auto"/>
          <w:lang w:eastAsia="zh-CN"/>
        </w:rPr>
        <w:t>兹定于201</w:t>
      </w:r>
      <w:r>
        <w:rPr>
          <w:rFonts w:hint="eastAsia" w:asciiTheme="minorEastAsia" w:hAnsiTheme="minorEastAsia" w:eastAsiaTheme="minorEastAsia" w:cstheme="minorEastAsia"/>
          <w:snapToGrid w:val="0"/>
          <w:color w:val="auto"/>
          <w:lang w:val="en-US" w:eastAsia="zh-CN"/>
        </w:rPr>
        <w:t>9</w:t>
      </w:r>
      <w:r>
        <w:rPr>
          <w:rFonts w:hint="eastAsia" w:asciiTheme="minorEastAsia" w:hAnsiTheme="minorEastAsia" w:eastAsiaTheme="minorEastAsia" w:cstheme="minorEastAsia"/>
          <w:snapToGrid w:val="0"/>
          <w:color w:val="auto"/>
          <w:lang w:eastAsia="zh-CN"/>
        </w:rPr>
        <w:t>年</w:t>
      </w:r>
      <w:r>
        <w:rPr>
          <w:rFonts w:hint="eastAsia" w:asciiTheme="minorEastAsia" w:hAnsiTheme="minorEastAsia" w:eastAsiaTheme="minorEastAsia" w:cstheme="minorEastAsia"/>
          <w:snapToGrid w:val="0"/>
          <w:color w:val="auto"/>
          <w:lang w:val="en-US" w:eastAsia="zh-CN"/>
        </w:rPr>
        <w:t>1</w:t>
      </w:r>
      <w:r>
        <w:rPr>
          <w:rFonts w:hint="eastAsia" w:asciiTheme="minorEastAsia" w:hAnsiTheme="minorEastAsia" w:eastAsiaTheme="minorEastAsia" w:cstheme="minorEastAsia"/>
          <w:snapToGrid w:val="0"/>
          <w:color w:val="auto"/>
          <w:lang w:eastAsia="zh-CN"/>
        </w:rPr>
        <w:t>月</w:t>
      </w:r>
      <w:r>
        <w:rPr>
          <w:rFonts w:hint="eastAsia" w:asciiTheme="minorEastAsia" w:hAnsiTheme="minorEastAsia" w:eastAsiaTheme="minorEastAsia" w:cstheme="minorEastAsia"/>
          <w:snapToGrid w:val="0"/>
          <w:color w:val="auto"/>
          <w:lang w:val="en-US" w:eastAsia="zh-CN"/>
        </w:rPr>
        <w:t>22</w:t>
      </w:r>
      <w:r>
        <w:rPr>
          <w:rFonts w:hint="eastAsia" w:asciiTheme="minorEastAsia" w:hAnsiTheme="minorEastAsia" w:eastAsiaTheme="minorEastAsia" w:cstheme="minorEastAsia"/>
          <w:snapToGrid w:val="0"/>
          <w:color w:val="auto"/>
          <w:lang w:eastAsia="zh-CN"/>
        </w:rPr>
        <w:t>日</w:t>
      </w:r>
      <w:r>
        <w:rPr>
          <w:rFonts w:hint="eastAsia" w:asciiTheme="minorEastAsia" w:hAnsiTheme="minorEastAsia" w:eastAsiaTheme="minorEastAsia" w:cstheme="minorEastAsia"/>
          <w:snapToGrid w:val="0"/>
          <w:color w:val="auto"/>
          <w:lang w:val="en-US" w:eastAsia="zh-CN"/>
        </w:rPr>
        <w:t>14</w:t>
      </w:r>
      <w:r>
        <w:rPr>
          <w:rFonts w:hint="eastAsia" w:asciiTheme="minorEastAsia" w:hAnsiTheme="minorEastAsia" w:eastAsiaTheme="minorEastAsia" w:cstheme="minorEastAsia"/>
          <w:snapToGrid w:val="0"/>
          <w:color w:val="auto"/>
          <w:lang w:eastAsia="zh-CN"/>
        </w:rPr>
        <w:t>时</w:t>
      </w:r>
      <w:r>
        <w:rPr>
          <w:rFonts w:hint="eastAsia" w:asciiTheme="minorEastAsia" w:hAnsiTheme="minorEastAsia" w:eastAsiaTheme="minorEastAsia" w:cstheme="minorEastAsia"/>
          <w:snapToGrid w:val="0"/>
          <w:color w:val="auto"/>
          <w:lang w:val="en-US" w:eastAsia="zh-CN"/>
        </w:rPr>
        <w:t>30</w:t>
      </w:r>
      <w:r>
        <w:rPr>
          <w:rFonts w:hint="eastAsia" w:asciiTheme="minorEastAsia" w:hAnsiTheme="minorEastAsia" w:eastAsiaTheme="minorEastAsia" w:cstheme="minorEastAsia"/>
          <w:snapToGrid w:val="0"/>
          <w:color w:val="auto"/>
          <w:lang w:eastAsia="zh-CN"/>
        </w:rPr>
        <w:t>分（北京时间）在湘潭市公共资源交易中心开标室（地址：湘潭市岳塘区芙蓉路广电中心西侧尚玲珑小区A栋2楼）公开开标，逾期送达的或者未送达指定地点的投标文件将拒绝接收。</w:t>
      </w:r>
    </w:p>
    <w:p>
      <w:pPr>
        <w:adjustRightInd w:val="0"/>
        <w:snapToGrid w:val="0"/>
        <w:spacing w:before="157" w:beforeLines="50" w:line="360" w:lineRule="auto"/>
        <w:ind w:firstLine="55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lang w:val="en-US" w:eastAsia="zh-CN"/>
        </w:rPr>
        <w:t>2、</w:t>
      </w:r>
      <w:r>
        <w:rPr>
          <w:rFonts w:hint="eastAsia" w:asciiTheme="minorEastAsia" w:hAnsiTheme="minorEastAsia" w:eastAsiaTheme="minorEastAsia" w:cstheme="minorEastAsia"/>
          <w:snapToGrid w:val="0"/>
          <w:color w:val="auto"/>
          <w:lang w:eastAsia="zh-CN"/>
        </w:rPr>
        <w:t>届时请投标人的法定代表人或其委托代理人持法定代表人授权书和授权代表身份证原件及投标保证金缴纳凭证出席开标仪式。</w:t>
      </w:r>
    </w:p>
    <w:p>
      <w:pPr>
        <w:adjustRightInd w:val="0"/>
        <w:snapToGrid w:val="0"/>
        <w:spacing w:line="390" w:lineRule="exact"/>
        <w:ind w:firstLine="422" w:firstLineChars="200"/>
        <w:rPr>
          <w:rFonts w:hint="eastAsia" w:asciiTheme="minorEastAsia" w:hAnsiTheme="minorEastAsia" w:eastAsiaTheme="minorEastAsia" w:cstheme="minorEastAsia"/>
          <w:b/>
          <w:bCs/>
          <w:snapToGrid w:val="0"/>
          <w:color w:val="auto"/>
          <w:lang w:eastAsia="zh-CN"/>
        </w:rPr>
      </w:pPr>
      <w:r>
        <w:rPr>
          <w:rFonts w:hint="eastAsia" w:asciiTheme="minorEastAsia" w:hAnsiTheme="minorEastAsia" w:eastAsiaTheme="minorEastAsia" w:cstheme="minorEastAsia"/>
          <w:b/>
          <w:color w:val="auto"/>
          <w:szCs w:val="21"/>
        </w:rPr>
        <w:t>六、</w:t>
      </w:r>
      <w:r>
        <w:rPr>
          <w:rFonts w:hint="eastAsia" w:asciiTheme="minorEastAsia" w:hAnsiTheme="minorEastAsia" w:eastAsiaTheme="minorEastAsia" w:cstheme="minorEastAsia"/>
          <w:b/>
          <w:bCs/>
          <w:snapToGrid w:val="0"/>
          <w:color w:val="auto"/>
          <w:lang w:eastAsia="zh-CN"/>
        </w:rPr>
        <w:t>质疑和投诉</w:t>
      </w:r>
    </w:p>
    <w:p>
      <w:pPr>
        <w:adjustRightInd w:val="0"/>
        <w:snapToGrid w:val="0"/>
        <w:spacing w:line="39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lang w:eastAsia="zh-CN"/>
        </w:rPr>
        <w:t>供应商认为采购文件存在歧视性条款的，应在购买采购文件之日起7个工作日内以书面形式向本代理机构提出。如对质疑答复有异议，可向同级政府采购监督管理部门投诉。</w:t>
      </w:r>
    </w:p>
    <w:p>
      <w:pP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七、采购项目联系人姓名和电话</w:t>
      </w:r>
    </w:p>
    <w:p>
      <w:pPr>
        <w:pStyle w:val="29"/>
        <w:adjustRightInd w:val="0"/>
        <w:snapToGrid w:val="0"/>
        <w:spacing w:beforeLines="50"/>
        <w:ind w:firstLine="422" w:firstLineChars="200"/>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b/>
          <w:color w:val="auto"/>
        </w:rPr>
        <w:t>采购人名称：</w:t>
      </w:r>
      <w:r>
        <w:rPr>
          <w:rFonts w:hint="eastAsia" w:asciiTheme="minorEastAsia" w:hAnsiTheme="minorEastAsia" w:eastAsiaTheme="minorEastAsia" w:cstheme="minorEastAsia"/>
          <w:b/>
          <w:color w:val="auto"/>
          <w:lang w:eastAsia="zh-CN"/>
        </w:rPr>
        <w:t>湘潭市中心医院</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 系 人：吴先生</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电    话：0731-5</w:t>
      </w:r>
      <w:r>
        <w:rPr>
          <w:rFonts w:hint="eastAsia" w:asciiTheme="minorEastAsia" w:hAnsiTheme="minorEastAsia" w:eastAsiaTheme="minorEastAsia" w:cstheme="minorEastAsia"/>
          <w:color w:val="auto"/>
          <w:sz w:val="21"/>
          <w:szCs w:val="21"/>
          <w:lang w:val="en-US" w:eastAsia="zh-CN"/>
        </w:rPr>
        <w:t>8286340</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lang w:eastAsia="zh-CN"/>
        </w:rPr>
        <w:t>地    址：湘潭市雨湖区和平路120号</w:t>
      </w:r>
    </w:p>
    <w:p>
      <w:pPr>
        <w:pStyle w:val="29"/>
        <w:adjustRightInd w:val="0"/>
        <w:snapToGrid w:val="0"/>
        <w:spacing w:beforeLines="50"/>
        <w:ind w:firstLine="422" w:firstLineChars="2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采购代理机构名称：湖南建业管理咨询有限公司</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招标代理机构地址：湘潭市岳塘区湘潭大道281号万达广场商务楼B座25楼</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 系 人：</w:t>
      </w:r>
      <w:r>
        <w:rPr>
          <w:rFonts w:hint="eastAsia" w:asciiTheme="minorEastAsia" w:hAnsiTheme="minorEastAsia" w:eastAsiaTheme="minorEastAsia" w:cstheme="minorEastAsia"/>
          <w:color w:val="auto"/>
          <w:szCs w:val="21"/>
          <w:lang w:eastAsia="zh-CN"/>
        </w:rPr>
        <w:t>潘伟</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张 容  易学汶</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联系电话：0731－58262652</w:t>
      </w:r>
    </w:p>
    <w:p>
      <w:pPr>
        <w:pStyle w:val="29"/>
        <w:adjustRightInd w:val="0"/>
        <w:snapToGrid w:val="0"/>
        <w:spacing w:beforeLines="5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采购代理中标服务费汇至以下账号：</w:t>
      </w:r>
    </w:p>
    <w:p>
      <w:pPr>
        <w:pStyle w:val="29"/>
        <w:adjustRightInd w:val="0"/>
        <w:snapToGrid w:val="0"/>
        <w:spacing w:beforeLines="5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账户名称：湖南建业管理咨询有限公司湘潭分公司</w:t>
      </w:r>
    </w:p>
    <w:p>
      <w:pPr>
        <w:pStyle w:val="29"/>
        <w:adjustRightInd w:val="0"/>
        <w:snapToGrid w:val="0"/>
        <w:spacing w:beforeLines="5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 户 行：华融湘江银行莲城支行</w:t>
      </w:r>
    </w:p>
    <w:p>
      <w:pPr>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银行帐号：88040309000000461</w:t>
      </w:r>
    </w:p>
    <w:p>
      <w:pPr>
        <w:rPr>
          <w:rFonts w:hint="eastAsia" w:asciiTheme="minorEastAsia" w:hAnsiTheme="minorEastAsia" w:eastAsiaTheme="minorEastAsia" w:cstheme="minorEastAsia"/>
          <w:color w:val="auto"/>
          <w:szCs w:val="21"/>
        </w:rPr>
      </w:pPr>
    </w:p>
    <w:p>
      <w:pPr>
        <w:spacing w:line="220" w:lineRule="atLeas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bookmarkEnd w:id="2"/>
    <w:p>
      <w:pPr>
        <w:pStyle w:val="3"/>
        <w:jc w:val="center"/>
        <w:rPr>
          <w:rFonts w:hint="eastAsia" w:asciiTheme="minorEastAsia" w:hAnsiTheme="minorEastAsia" w:eastAsiaTheme="minorEastAsia" w:cstheme="minorEastAsia"/>
          <w:color w:val="auto"/>
          <w:szCs w:val="21"/>
        </w:rPr>
      </w:pPr>
      <w:bookmarkStart w:id="3" w:name="_Toc14146"/>
      <w:r>
        <w:rPr>
          <w:rFonts w:hint="eastAsia" w:asciiTheme="minorEastAsia" w:hAnsiTheme="minorEastAsia" w:eastAsiaTheme="minorEastAsia" w:cstheme="minorEastAsia"/>
          <w:color w:val="auto"/>
          <w:sz w:val="32"/>
          <w:szCs w:val="32"/>
        </w:rPr>
        <w:t>第二章  磋商须知</w:t>
      </w:r>
      <w:bookmarkEnd w:id="3"/>
    </w:p>
    <w:p>
      <w:pPr>
        <w:pStyle w:val="29"/>
        <w:jc w:val="center"/>
        <w:outlineLvl w:val="0"/>
        <w:rPr>
          <w:rFonts w:hint="eastAsia" w:asciiTheme="minorEastAsia" w:hAnsiTheme="minorEastAsia" w:eastAsiaTheme="minorEastAsia" w:cstheme="minorEastAsia"/>
          <w:b/>
          <w:color w:val="auto"/>
          <w:sz w:val="24"/>
          <w:szCs w:val="24"/>
        </w:rPr>
      </w:pPr>
      <w:bookmarkStart w:id="4" w:name="_Toc8150"/>
      <w:r>
        <w:rPr>
          <w:rFonts w:hint="eastAsia" w:asciiTheme="minorEastAsia" w:hAnsiTheme="minorEastAsia" w:eastAsiaTheme="minorEastAsia" w:cstheme="minorEastAsia"/>
          <w:b/>
          <w:color w:val="auto"/>
          <w:sz w:val="24"/>
          <w:szCs w:val="24"/>
        </w:rPr>
        <w:t>磋商须知前附表</w:t>
      </w:r>
      <w:bookmarkEnd w:id="4"/>
    </w:p>
    <w:p>
      <w:pPr>
        <w:pStyle w:val="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 请在方框□内划√选择，在“条款号”内限选一项。（本项目采用的条款用“■”标示）</w:t>
      </w:r>
    </w:p>
    <w:tbl>
      <w:tblPr>
        <w:tblStyle w:val="64"/>
        <w:tblW w:w="901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2"/>
        <w:gridCol w:w="1843"/>
        <w:gridCol w:w="53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tblHeader/>
          <w:jc w:val="center"/>
        </w:trPr>
        <w:tc>
          <w:tcPr>
            <w:tcW w:w="1772" w:type="dxa"/>
            <w:vAlign w:val="center"/>
          </w:tcPr>
          <w:p>
            <w:pPr>
              <w:adjustRightInd w:val="0"/>
              <w:snapToGrid w:val="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条款号</w:t>
            </w:r>
          </w:p>
        </w:tc>
        <w:tc>
          <w:tcPr>
            <w:tcW w:w="1843" w:type="dxa"/>
            <w:vAlign w:val="center"/>
          </w:tcPr>
          <w:p>
            <w:pPr>
              <w:adjustRightInd w:val="0"/>
              <w:snapToGrid w:val="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条款名称</w:t>
            </w:r>
          </w:p>
        </w:tc>
        <w:tc>
          <w:tcPr>
            <w:tcW w:w="5399" w:type="dxa"/>
            <w:vAlign w:val="center"/>
          </w:tcPr>
          <w:p>
            <w:pPr>
              <w:adjustRightInd w:val="0"/>
              <w:snapToGrid w:val="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jc w:val="center"/>
        </w:trPr>
        <w:tc>
          <w:tcPr>
            <w:tcW w:w="9014" w:type="dxa"/>
            <w:gridSpan w:val="3"/>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第二章第1.1款</w:t>
            </w:r>
          </w:p>
        </w:tc>
        <w:tc>
          <w:tcPr>
            <w:tcW w:w="1843" w:type="dxa"/>
            <w:vAlign w:val="center"/>
          </w:tcPr>
          <w:p>
            <w:pPr>
              <w:adjustRightInd w:val="0"/>
              <w:snapToGrid w:val="0"/>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采购项目</w:t>
            </w:r>
          </w:p>
        </w:tc>
        <w:tc>
          <w:tcPr>
            <w:tcW w:w="5399" w:type="dxa"/>
            <w:vAlign w:val="center"/>
          </w:tcPr>
          <w:p>
            <w:pPr>
              <w:adjustRightInd w:val="0"/>
              <w:snapToGrid w:val="0"/>
              <w:jc w:val="both"/>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湘潭市中心医院核磁共振楼装饰工程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53"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第二章第2.1款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w:t>
            </w:r>
          </w:p>
        </w:tc>
        <w:tc>
          <w:tcPr>
            <w:tcW w:w="5399" w:type="dxa"/>
            <w:vAlign w:val="center"/>
          </w:tcPr>
          <w:p>
            <w:pPr>
              <w:adjustRightInd w:val="0"/>
              <w:snapToGrid w:val="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采 购 人：</w:t>
            </w:r>
            <w:r>
              <w:rPr>
                <w:rFonts w:hint="eastAsia" w:asciiTheme="minorEastAsia" w:hAnsiTheme="minorEastAsia" w:eastAsiaTheme="minorEastAsia" w:cstheme="minorEastAsia"/>
                <w:color w:val="auto"/>
                <w:szCs w:val="21"/>
                <w:lang w:eastAsia="zh-CN"/>
              </w:rPr>
              <w:t>湘潭市中心医院</w:t>
            </w:r>
          </w:p>
          <w:p>
            <w:pPr>
              <w:spacing w:line="36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 系 人：吴先生</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电    话：0731-58286</w:t>
            </w:r>
            <w:r>
              <w:rPr>
                <w:rFonts w:hint="eastAsia" w:asciiTheme="minorEastAsia" w:hAnsiTheme="minorEastAsia" w:eastAsiaTheme="minorEastAsia" w:cstheme="minorEastAsia"/>
                <w:color w:val="auto"/>
                <w:sz w:val="21"/>
                <w:szCs w:val="21"/>
                <w:lang w:val="en-US" w:eastAsia="zh-CN"/>
              </w:rPr>
              <w:t>340</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lang w:eastAsia="zh-CN"/>
              </w:rPr>
              <w:t>地    址：湘潭市雨湖区和平路120号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53"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第二章第2.2款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w:t>
            </w:r>
          </w:p>
        </w:tc>
        <w:tc>
          <w:tcPr>
            <w:tcW w:w="5399" w:type="dxa"/>
            <w:vAlign w:val="center"/>
          </w:tcPr>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采购代理机构：湖南建业管理咨询有限公司</w:t>
            </w:r>
          </w:p>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联 系人： </w:t>
            </w:r>
            <w:r>
              <w:rPr>
                <w:rFonts w:hint="eastAsia" w:asciiTheme="minorEastAsia" w:hAnsiTheme="minorEastAsia" w:eastAsiaTheme="minorEastAsia" w:cstheme="minorEastAsia"/>
                <w:color w:val="auto"/>
                <w:szCs w:val="21"/>
                <w:lang w:eastAsia="zh-CN"/>
              </w:rPr>
              <w:t>潘</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伟</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张 容  </w:t>
            </w:r>
          </w:p>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   话：0731－58262652</w:t>
            </w:r>
          </w:p>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址：湘潭市岳塘区湘潭大道281号万达广场商务楼B座25楼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第二章第2.3款</w:t>
            </w:r>
          </w:p>
        </w:tc>
        <w:tc>
          <w:tcPr>
            <w:tcW w:w="1843" w:type="dxa"/>
            <w:vAlign w:val="center"/>
          </w:tcPr>
          <w:p>
            <w:pPr>
              <w:adjustRightInd w:val="0"/>
              <w:snapToGrid w:val="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供应商的</w:t>
            </w:r>
            <w:r>
              <w:rPr>
                <w:rFonts w:hint="eastAsia" w:asciiTheme="minorEastAsia" w:hAnsiTheme="minorEastAsia" w:eastAsiaTheme="minorEastAsia" w:cstheme="minorEastAsia"/>
                <w:color w:val="auto"/>
                <w:szCs w:val="21"/>
              </w:rPr>
              <w:t>邀请方式</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■发布公告</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第二章第3.1款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资格条件</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1、供应商基本资格条件</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1.1投标人须为在中华人民共和国境内合法注册且存续有效的独立法人；</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1.2投标人不得直接或间接地与</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为本项目所委托的咨询公司或其附属机构有任何关联；</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1.3法定代表人为同一个人的两个或两个以上法人，母公司、全资子公司及其控股公司等关联公司不得在本项目中同时投标；</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1.4.法人提交法定代表人资格证明书复印件或者法定代表人授权委托书原件并附法定代表人及被授权人身份证明复印件</w:t>
            </w:r>
            <w:r>
              <w:rPr>
                <w:rFonts w:hint="eastAsia" w:asciiTheme="minorEastAsia" w:hAnsiTheme="minorEastAsia" w:eastAsiaTheme="minorEastAsia" w:cstheme="minorEastAsia"/>
                <w:color w:val="auto"/>
                <w:spacing w:val="-10"/>
              </w:rPr>
              <w:t>，自然人提交身份证复印件</w:t>
            </w:r>
            <w:r>
              <w:rPr>
                <w:rFonts w:hint="eastAsia" w:asciiTheme="minorEastAsia" w:hAnsiTheme="minorEastAsia" w:eastAsiaTheme="minorEastAsia" w:cstheme="minorEastAsia"/>
                <w:color w:val="auto"/>
                <w:szCs w:val="21"/>
              </w:rPr>
              <w:t>；</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 法人提交企业法人营业执照副本 (或者法人登记证书)以及组织机构代码证副本复印件；</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依法缴纳税收和社会保险费的证明材料》提供下列材料之一；①《税务登记证》和《社会保险登记证》复印件；②近三个月依法缴纳税收和社会保险的证明（纳税及缴费凭证复印件）；③委托他人缴纳的委托代办协议和近三个月的缴纳证明（收据复印件）；④法定征收机构出具的依法免缴收费的证明原件。</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1.7参加采购活动前三年内在经营活动中没有重大违法记录的书面声明；</w:t>
            </w:r>
          </w:p>
          <w:p>
            <w:pPr>
              <w:widowControl/>
              <w:adjustRightInd w:val="0"/>
              <w:snapToGrid w:val="0"/>
              <w:spacing w:line="36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snapToGrid w:val="0"/>
                <w:color w:val="auto"/>
                <w:szCs w:val="21"/>
              </w:rPr>
              <w:t>申请人未列入失信被执行人、重大税收违法案件当事人名单、政府采购严重违法失信行为记录名单的书面承诺（格式自拟），并附经“信用中国”（ http://www.creditchina.gov.cn/ ）网站或“中国政府采购网网站”（http://www.ccgp.gov.cn/ ）查询记录。</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法律、行政法规规定的其他条件的证明材料。</w:t>
            </w:r>
          </w:p>
          <w:p>
            <w:pPr>
              <w:ind w:firstLine="424" w:firstLineChars="20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2、供应商特定资格条件：</w:t>
            </w:r>
            <w:r>
              <w:rPr>
                <w:rFonts w:hint="eastAsia" w:asciiTheme="minorEastAsia" w:hAnsiTheme="minorEastAsia" w:eastAsiaTheme="minorEastAsia" w:cstheme="minorEastAsia"/>
                <w:color w:val="auto"/>
              </w:rPr>
              <w:t>具备建设行政主管部门颁发的</w:t>
            </w:r>
            <w:r>
              <w:rPr>
                <w:rFonts w:hint="eastAsia" w:asciiTheme="minorEastAsia" w:hAnsiTheme="minorEastAsia" w:eastAsiaTheme="minorEastAsia" w:cstheme="minorEastAsia"/>
                <w:b w:val="0"/>
                <w:bCs/>
                <w:color w:val="auto"/>
                <w:szCs w:val="21"/>
                <w:lang w:eastAsia="zh-CN"/>
              </w:rPr>
              <w:t>建筑工程施工总承包叁级及以上资质企业，安全生产许可证处于有效期，项目负责人具有建筑工程专业贰级及以上注册建造师执业资格，具备有效的项目负责人安全生产考核合格证书；</w:t>
            </w:r>
          </w:p>
          <w:p>
            <w:pPr>
              <w:adjustRightInd w:val="0"/>
              <w:snapToGrid w:val="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3．资格证明文件复印件须加盖供应商单位公章。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第二章第6.1款</w:t>
            </w:r>
          </w:p>
        </w:tc>
        <w:tc>
          <w:tcPr>
            <w:tcW w:w="1843" w:type="dxa"/>
            <w:vAlign w:val="center"/>
          </w:tcPr>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联合体形式</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不接受</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第二章第7.1款</w:t>
            </w:r>
          </w:p>
        </w:tc>
        <w:tc>
          <w:tcPr>
            <w:tcW w:w="1843"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现场勘察</w:t>
            </w:r>
          </w:p>
        </w:tc>
        <w:tc>
          <w:tcPr>
            <w:tcW w:w="5399" w:type="dxa"/>
            <w:vAlign w:val="center"/>
          </w:tcPr>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投标人可自行对项目现场和周围环境进行勘察，以便投标人获取有关编制投标文件和签署合同所涉及现场的资料，</w:t>
            </w:r>
            <w:r>
              <w:rPr>
                <w:rFonts w:hint="eastAsia" w:asciiTheme="minorEastAsia" w:hAnsiTheme="minorEastAsia" w:eastAsiaTheme="minorEastAsia" w:cstheme="minorEastAsia"/>
                <w:color w:val="auto"/>
                <w:szCs w:val="21"/>
                <w:lang w:eastAsia="zh-CN"/>
              </w:rPr>
              <w:t>成交单位</w:t>
            </w:r>
            <w:r>
              <w:rPr>
                <w:rFonts w:hint="eastAsia" w:asciiTheme="minorEastAsia" w:hAnsiTheme="minorEastAsia" w:eastAsiaTheme="minorEastAsia" w:cstheme="minorEastAsia"/>
                <w:color w:val="auto"/>
                <w:szCs w:val="21"/>
              </w:rPr>
              <w:t>签订合同和项目实施过程中，不得以不完全了解项目现场情况为由，提出任何形式的增加造价或索赔要求。投标人踏勘现场所发生的一切费用和责任概由投标人自负。</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不单独或分别组织任何一个投标人进行现场踏勘。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 w:hRule="atLeast"/>
          <w:jc w:val="center"/>
        </w:trPr>
        <w:tc>
          <w:tcPr>
            <w:tcW w:w="9014" w:type="dxa"/>
            <w:gridSpan w:val="3"/>
            <w:vAlign w:val="center"/>
          </w:tcPr>
          <w:p>
            <w:pPr>
              <w:adjustRightInd w:val="0"/>
              <w:snapToGrid w:val="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第二章第8.3款</w:t>
            </w:r>
          </w:p>
        </w:tc>
        <w:tc>
          <w:tcPr>
            <w:tcW w:w="1843" w:type="dxa"/>
            <w:vAlign w:val="center"/>
          </w:tcPr>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磋商文件的可能实质性变动内容</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第二章第9.1款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提交首次响应文件的截止时间</w:t>
            </w:r>
          </w:p>
        </w:tc>
        <w:tc>
          <w:tcPr>
            <w:tcW w:w="5399" w:type="dxa"/>
            <w:vAlign w:val="center"/>
          </w:tcPr>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201</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14</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0分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 w:hRule="atLeast"/>
          <w:jc w:val="center"/>
        </w:trPr>
        <w:tc>
          <w:tcPr>
            <w:tcW w:w="1772"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第二章第24.3款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一般条款允许偏离的最高项数</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一般商务和技术条款偏离项数之和≥</w:t>
            </w:r>
            <w:r>
              <w:rPr>
                <w:rFonts w:hint="eastAsia" w:asciiTheme="minorEastAsia" w:hAnsiTheme="minorEastAsia" w:eastAsiaTheme="minorEastAsia" w:cstheme="minorEastAsia"/>
                <w:color w:val="auto"/>
                <w:szCs w:val="21"/>
                <w:u w:val="single"/>
              </w:rPr>
              <w:t xml:space="preserve"> 5 </w:t>
            </w:r>
            <w:r>
              <w:rPr>
                <w:rFonts w:hint="eastAsia" w:asciiTheme="minorEastAsia" w:hAnsiTheme="minorEastAsia" w:eastAsiaTheme="minorEastAsia" w:cstheme="minorEastAsia"/>
                <w:color w:val="auto"/>
                <w:szCs w:val="21"/>
              </w:rPr>
              <w:t>项将导致无效无效响应文件。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 w:hRule="atLeast"/>
          <w:jc w:val="center"/>
        </w:trPr>
        <w:tc>
          <w:tcPr>
            <w:tcW w:w="1772"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第二章第24.4款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条款数（最高项数）的统计方法</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按编号的商务和技术条款进行统计。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 w:hRule="atLeast"/>
          <w:jc w:val="center"/>
        </w:trPr>
        <w:tc>
          <w:tcPr>
            <w:tcW w:w="9014" w:type="dxa"/>
            <w:gridSpan w:val="3"/>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jc w:val="center"/>
        </w:trPr>
        <w:tc>
          <w:tcPr>
            <w:tcW w:w="1772"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第二章第13.4款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采购项目预算</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人民币</w:t>
            </w:r>
            <w:r>
              <w:rPr>
                <w:rFonts w:hint="eastAsia" w:asciiTheme="minorEastAsia" w:hAnsiTheme="minorEastAsia" w:eastAsiaTheme="minorEastAsia" w:cstheme="minorEastAsia"/>
                <w:color w:val="auto"/>
                <w:szCs w:val="21"/>
                <w:lang w:val="en-US" w:eastAsia="zh-CN"/>
              </w:rPr>
              <w:t>3991560.63</w:t>
            </w:r>
            <w:r>
              <w:rPr>
                <w:rFonts w:hint="eastAsia" w:asciiTheme="minorEastAsia" w:hAnsiTheme="minorEastAsia" w:eastAsiaTheme="minorEastAsia" w:cstheme="minorEastAsia"/>
                <w:color w:val="auto"/>
                <w:szCs w:val="21"/>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第二章第15.1款</w:t>
            </w:r>
          </w:p>
        </w:tc>
        <w:tc>
          <w:tcPr>
            <w:tcW w:w="1843" w:type="dxa"/>
            <w:vAlign w:val="center"/>
          </w:tcPr>
          <w:p>
            <w:pPr>
              <w:adjustRightInd w:val="0"/>
              <w:snapToGrid w:val="0"/>
              <w:ind w:left="-533" w:leftChars="-254" w:firstLine="533" w:firstLineChars="254"/>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磋商保证金</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不要求提供</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要求提供：保证金数额：人民币</w:t>
            </w:r>
            <w:r>
              <w:rPr>
                <w:rFonts w:hint="eastAsia" w:asciiTheme="minorEastAsia" w:hAnsiTheme="minorEastAsia" w:eastAsiaTheme="minorEastAsia" w:cstheme="minorEastAsia"/>
                <w:color w:val="auto"/>
                <w:szCs w:val="21"/>
                <w:lang w:eastAsia="zh-CN"/>
              </w:rPr>
              <w:t>柒万</w:t>
            </w:r>
            <w:r>
              <w:rPr>
                <w:rFonts w:hint="eastAsia" w:asciiTheme="minorEastAsia" w:hAnsiTheme="minorEastAsia" w:eastAsiaTheme="minorEastAsia" w:cstheme="minorEastAsia"/>
                <w:color w:val="auto"/>
                <w:szCs w:val="21"/>
              </w:rPr>
              <w:t>元整（¥</w:t>
            </w:r>
            <w:r>
              <w:rPr>
                <w:rFonts w:hint="eastAsia" w:asciiTheme="minorEastAsia" w:hAnsiTheme="minorEastAsia" w:eastAsiaTheme="minorEastAsia" w:cstheme="minorEastAsia"/>
                <w:color w:val="auto"/>
                <w:szCs w:val="21"/>
                <w:lang w:val="en-US" w:eastAsia="zh-CN"/>
              </w:rPr>
              <w:t>700</w:t>
            </w:r>
            <w:r>
              <w:rPr>
                <w:rFonts w:hint="eastAsia" w:asciiTheme="minorEastAsia" w:hAnsiTheme="minorEastAsia" w:eastAsiaTheme="minorEastAsia" w:cstheme="minorEastAsia"/>
                <w:color w:val="auto"/>
                <w:szCs w:val="21"/>
              </w:rPr>
              <w:t>00元整）</w:t>
            </w:r>
          </w:p>
          <w:p>
            <w:pPr>
              <w:widowControl/>
              <w:adjustRightInd w:val="0"/>
              <w:snapToGrid w:val="0"/>
              <w:spacing w:line="360" w:lineRule="exact"/>
              <w:ind w:firstLine="420" w:firstLineChars="200"/>
              <w:rPr>
                <w:rFonts w:hint="eastAsia"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snapToGrid w:val="0"/>
                <w:color w:val="auto"/>
                <w:szCs w:val="21"/>
              </w:rPr>
              <w:t>投标人必须以企业法人的名义提交投标保证金。在投标截止前按照湘潭市公共资源交易电子化平台要求由投标人基本账户转入本投标单位申请到的投标保证金收款账户。（详见http://ggzy.xiangtan.gov.cn/zlxz/3480.jhtml）</w:t>
            </w:r>
            <w:r>
              <w:rPr>
                <w:rFonts w:hint="eastAsia" w:asciiTheme="minorEastAsia" w:hAnsiTheme="minorEastAsia" w:eastAsiaTheme="minorEastAsia" w:cstheme="minorEastAsia"/>
                <w:snapToGrid w:val="0"/>
                <w:color w:val="auto"/>
                <w:szCs w:val="21"/>
              </w:rPr>
              <w:br w:type="textWrapping"/>
            </w:r>
            <w:r>
              <w:rPr>
                <w:rFonts w:hint="eastAsia" w:asciiTheme="minorEastAsia" w:hAnsiTheme="minorEastAsia" w:eastAsiaTheme="minorEastAsia" w:cstheme="minorEastAsia"/>
                <w:snapToGrid w:val="0"/>
                <w:color w:val="auto"/>
                <w:szCs w:val="21"/>
              </w:rPr>
              <w:t xml:space="preserve">    各投标人需在递交投标保证金前确保本单位在湘潭市公共资源交易电子化平台系统中录入的基本账户与本企业的基本账户一致，如存在不一致的情况，需要及时到信息管理科进行变更备案。</w:t>
            </w:r>
            <w:r>
              <w:rPr>
                <w:rFonts w:hint="eastAsia" w:asciiTheme="minorEastAsia" w:hAnsiTheme="minorEastAsia" w:eastAsiaTheme="minorEastAsia" w:cstheme="minorEastAsia"/>
                <w:snapToGrid w:val="0"/>
                <w:color w:val="auto"/>
                <w:szCs w:val="21"/>
              </w:rPr>
              <w:br w:type="textWrapping"/>
            </w:r>
            <w:r>
              <w:rPr>
                <w:rFonts w:hint="eastAsia" w:asciiTheme="minorEastAsia" w:hAnsiTheme="minorEastAsia" w:eastAsiaTheme="minorEastAsia" w:cstheme="minorEastAsia"/>
                <w:snapToGrid w:val="0"/>
                <w:color w:val="auto"/>
                <w:szCs w:val="21"/>
              </w:rPr>
              <w:t xml:space="preserve">    投标保证金到账截止时间同投标截止时间，转账凭证于开标现场递交。</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rPr>
              <w:t>★未按上述要求提交投标保证金的将视为无效投标。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第二章第16.1款</w:t>
            </w:r>
          </w:p>
        </w:tc>
        <w:tc>
          <w:tcPr>
            <w:tcW w:w="1843" w:type="dxa"/>
            <w:vAlign w:val="center"/>
          </w:tcPr>
          <w:p>
            <w:pPr>
              <w:adjustRightInd w:val="0"/>
              <w:snapToGrid w:val="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响应文件有效期</w:t>
            </w:r>
          </w:p>
        </w:tc>
        <w:tc>
          <w:tcPr>
            <w:tcW w:w="5399" w:type="dxa"/>
            <w:vAlign w:val="center"/>
          </w:tcPr>
          <w:p>
            <w:pPr>
              <w:adjustRightInd w:val="0"/>
              <w:snapToGrid w:val="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60日（日历日）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第二章第17.1款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响应</w:t>
            </w:r>
            <w:r>
              <w:rPr>
                <w:rFonts w:hint="eastAsia" w:asciiTheme="minorEastAsia" w:hAnsiTheme="minorEastAsia" w:eastAsiaTheme="minorEastAsia" w:cstheme="minorEastAsia"/>
                <w:color w:val="auto"/>
                <w:szCs w:val="21"/>
              </w:rPr>
              <w:t>文件副本份数</w:t>
            </w:r>
          </w:p>
        </w:tc>
        <w:tc>
          <w:tcPr>
            <w:tcW w:w="5399" w:type="dxa"/>
            <w:vAlign w:val="center"/>
          </w:tcPr>
          <w:p>
            <w:pPr>
              <w:adjustRightInd w:val="0"/>
              <w:snapToGrid w:val="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正本：1份，副本：</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份，电子文档：1份。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 w:hRule="atLeast"/>
          <w:jc w:val="center"/>
        </w:trPr>
        <w:tc>
          <w:tcPr>
            <w:tcW w:w="9014" w:type="dxa"/>
            <w:gridSpan w:val="3"/>
            <w:vAlign w:val="center"/>
          </w:tcPr>
          <w:p>
            <w:pPr>
              <w:adjustRightInd w:val="0"/>
              <w:snapToGrid w:val="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第二章第18.2款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封套上应载明的信息</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采购编号：</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  年  月  日   时  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第二章第20.1款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响应文件的递交地点</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lang w:val="en-US" w:eastAsia="zh-CN"/>
              </w:rPr>
              <w:t>湘潭市公共资源交易中心二楼开标室</w:t>
            </w:r>
            <w:r>
              <w:rPr>
                <w:rFonts w:hint="eastAsia" w:asciiTheme="minorEastAsia" w:hAnsiTheme="minorEastAsia" w:eastAsiaTheme="minorEastAsia" w:cstheme="minorEastAsia"/>
                <w:color w:val="auto"/>
                <w:szCs w:val="21"/>
              </w:rPr>
              <w:t>（地址：湘潭市岳塘区芙蓉路广电中心西侧尚玲珑小区A栋2楼）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9014" w:type="dxa"/>
            <w:gridSpan w:val="3"/>
            <w:vAlign w:val="center"/>
          </w:tcPr>
          <w:p>
            <w:pPr>
              <w:adjustRightInd w:val="0"/>
              <w:snapToGrid w:val="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第二章第29.2款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评审因素和标准</w:t>
            </w:r>
          </w:p>
        </w:tc>
        <w:tc>
          <w:tcPr>
            <w:tcW w:w="5399" w:type="dxa"/>
            <w:vAlign w:val="center"/>
          </w:tcPr>
          <w:p>
            <w:pPr>
              <w:pStyle w:val="29"/>
              <w:adjustRightInd w:val="0"/>
              <w:snapToGrid w:val="0"/>
              <w:jc w:val="both"/>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rPr>
              <w:t>见第三章评审方法及标准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jc w:val="center"/>
        </w:trPr>
        <w:tc>
          <w:tcPr>
            <w:tcW w:w="9014" w:type="dxa"/>
            <w:gridSpan w:val="3"/>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六、成交结果信息公布与授予合同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第二章第34.1款</w:t>
            </w:r>
          </w:p>
        </w:tc>
        <w:tc>
          <w:tcPr>
            <w:tcW w:w="1843" w:type="dxa"/>
            <w:vAlign w:val="center"/>
          </w:tcPr>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发布</w:t>
            </w:r>
            <w:r>
              <w:rPr>
                <w:rFonts w:hint="eastAsia" w:asciiTheme="minorEastAsia" w:hAnsiTheme="minorEastAsia" w:eastAsiaTheme="minorEastAsia" w:cstheme="minorEastAsia"/>
                <w:color w:val="auto"/>
                <w:szCs w:val="21"/>
              </w:rPr>
              <w:t>媒体</w:t>
            </w:r>
          </w:p>
        </w:tc>
        <w:tc>
          <w:tcPr>
            <w:tcW w:w="5399" w:type="dxa"/>
            <w:vAlign w:val="center"/>
          </w:tcPr>
          <w:p>
            <w:pPr>
              <w:adjustRightInd w:val="0"/>
              <w:snapToGrid w:val="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《中国采购与招标网》</w:t>
            </w:r>
            <w:r>
              <w:rPr>
                <w:rFonts w:hint="eastAsia" w:asciiTheme="minorEastAsia" w:hAnsiTheme="minorEastAsia" w:eastAsiaTheme="minorEastAsia" w:cstheme="minorEastAsia"/>
                <w:color w:val="auto"/>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第二章第36.3款</w:t>
            </w:r>
          </w:p>
        </w:tc>
        <w:tc>
          <w:tcPr>
            <w:tcW w:w="1843" w:type="dxa"/>
            <w:vAlign w:val="center"/>
          </w:tcPr>
          <w:p>
            <w:pPr>
              <w:adjustRightInd w:val="0"/>
              <w:snapToGrid w:val="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履约担保</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□不要求提供</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■要求提供</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履约担保的金额为：</w:t>
            </w:r>
            <w:r>
              <w:rPr>
                <w:rFonts w:hint="eastAsia" w:asciiTheme="minorEastAsia" w:hAnsiTheme="minorEastAsia" w:eastAsiaTheme="minorEastAsia" w:cstheme="minorEastAsia"/>
                <w:color w:val="auto"/>
                <w:szCs w:val="21"/>
                <w:lang w:eastAsia="zh-CN"/>
              </w:rPr>
              <w:t>成交</w:t>
            </w:r>
            <w:r>
              <w:rPr>
                <w:rFonts w:hint="eastAsia" w:asciiTheme="minorEastAsia" w:hAnsiTheme="minorEastAsia" w:eastAsiaTheme="minorEastAsia" w:cstheme="minorEastAsia"/>
                <w:color w:val="auto"/>
                <w:szCs w:val="21"/>
              </w:rPr>
              <w:t>金额的5%（评标结果宣布后五个工作日内向采购单位递交</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项目验收后向采购单位申请退还）</w:t>
            </w:r>
            <w:r>
              <w:rPr>
                <w:rFonts w:hint="eastAsia" w:asciiTheme="minorEastAsia" w:hAnsiTheme="minorEastAsia" w:eastAsiaTheme="minorEastAsia" w:cstheme="minorEastAsia"/>
                <w:color w:val="auto"/>
                <w:u w:val="none"/>
              </w:rPr>
              <w:t>，</w:t>
            </w:r>
            <w:r>
              <w:rPr>
                <w:rFonts w:hint="eastAsia" w:asciiTheme="minorEastAsia" w:hAnsiTheme="minorEastAsia" w:eastAsiaTheme="minorEastAsia" w:cstheme="minorEastAsia"/>
                <w:b/>
                <w:bCs/>
                <w:color w:val="auto"/>
                <w:kern w:val="0"/>
                <w:u w:val="none"/>
              </w:rPr>
              <w:t>否则视为放弃中标</w:t>
            </w:r>
            <w:r>
              <w:rPr>
                <w:rFonts w:hint="eastAsia" w:asciiTheme="minorEastAsia" w:hAnsiTheme="minorEastAsia" w:eastAsiaTheme="minorEastAsia" w:cstheme="minorEastAsia"/>
                <w:b/>
                <w:bCs/>
                <w:color w:val="auto"/>
                <w:kern w:val="0"/>
                <w:u w:val="none"/>
                <w:lang w:eastAsia="zh-CN"/>
              </w:rPr>
              <w:t>。</w:t>
            </w:r>
          </w:p>
          <w:p>
            <w:pPr>
              <w:adjustRightInd w:val="0"/>
              <w:snapToGrid w:val="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户名：</w:t>
            </w:r>
            <w:r>
              <w:rPr>
                <w:rFonts w:hint="eastAsia" w:asciiTheme="minorEastAsia" w:hAnsiTheme="minorEastAsia" w:eastAsiaTheme="minorEastAsia" w:cstheme="minorEastAsia"/>
                <w:color w:val="auto"/>
                <w:szCs w:val="21"/>
                <w:lang w:eastAsia="zh-CN"/>
              </w:rPr>
              <w:t>湘潭市中心医院</w:t>
            </w:r>
          </w:p>
          <w:p>
            <w:pPr>
              <w:adjustRightInd w:val="0"/>
              <w:snapToGrid w:val="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账户：</w:t>
            </w:r>
            <w:r>
              <w:rPr>
                <w:rFonts w:hint="eastAsia" w:asciiTheme="minorEastAsia" w:hAnsiTheme="minorEastAsia" w:eastAsiaTheme="minorEastAsia" w:cstheme="minorEastAsia"/>
                <w:color w:val="auto"/>
                <w:szCs w:val="21"/>
                <w:lang w:val="en-US" w:eastAsia="zh-CN"/>
              </w:rPr>
              <w:t xml:space="preserve">43001505363052501256 </w:t>
            </w:r>
          </w:p>
          <w:p>
            <w:pPr>
              <w:adjustRightInd w:val="0"/>
              <w:snapToGrid w:val="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开户行：</w:t>
            </w:r>
            <w:r>
              <w:rPr>
                <w:rFonts w:hint="eastAsia" w:asciiTheme="minorEastAsia" w:hAnsiTheme="minorEastAsia" w:eastAsiaTheme="minorEastAsia" w:cstheme="minorEastAsia"/>
                <w:color w:val="auto"/>
                <w:szCs w:val="21"/>
                <w:lang w:eastAsia="zh-CN"/>
              </w:rPr>
              <w:t>建行湘潭广源支行</w:t>
            </w:r>
            <w:r>
              <w:rPr>
                <w:rFonts w:hint="eastAsia" w:asciiTheme="minorEastAsia" w:hAnsiTheme="minorEastAsia" w:eastAsiaTheme="minorEastAsia" w:cstheme="minorEastAsia"/>
                <w:color w:val="auto"/>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9014" w:type="dxa"/>
            <w:gridSpan w:val="3"/>
            <w:vAlign w:val="center"/>
          </w:tcPr>
          <w:p>
            <w:pPr>
              <w:adjustRightInd w:val="0"/>
              <w:snapToGrid w:val="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第二章第38.1款</w:t>
            </w:r>
          </w:p>
        </w:tc>
        <w:tc>
          <w:tcPr>
            <w:tcW w:w="1843"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采购代理服务费</w:t>
            </w:r>
          </w:p>
        </w:tc>
        <w:tc>
          <w:tcPr>
            <w:tcW w:w="5399"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经采购人授权，采购代理机构按照相关规定向成交人收取中标服务费人民币¥</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37900</w:t>
            </w:r>
            <w:r>
              <w:rPr>
                <w:rFonts w:hint="eastAsia" w:asciiTheme="minorEastAsia" w:hAnsiTheme="minorEastAsia" w:eastAsiaTheme="minorEastAsia" w:cstheme="minorEastAsia"/>
                <w:color w:val="auto"/>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 w:hRule="atLeast"/>
          <w:jc w:val="center"/>
        </w:trPr>
        <w:tc>
          <w:tcPr>
            <w:tcW w:w="1772"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第二章第39.1款</w:t>
            </w:r>
          </w:p>
        </w:tc>
        <w:tc>
          <w:tcPr>
            <w:tcW w:w="1843" w:type="dxa"/>
            <w:vAlign w:val="center"/>
          </w:tcPr>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其他规定</w:t>
            </w:r>
          </w:p>
        </w:tc>
        <w:tc>
          <w:tcPr>
            <w:tcW w:w="5399" w:type="dxa"/>
            <w:vAlign w:val="center"/>
          </w:tcPr>
          <w:p>
            <w:pPr>
              <w:adjustRightInd w:val="0"/>
              <w:snapToGrid w:val="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无</w:t>
            </w:r>
          </w:p>
        </w:tc>
      </w:tr>
    </w:tbl>
    <w:p>
      <w:pPr>
        <w:rPr>
          <w:rFonts w:hint="eastAsia" w:asciiTheme="minorEastAsia" w:hAnsiTheme="minorEastAsia" w:eastAsiaTheme="minorEastAsia" w:cstheme="minorEastAsia"/>
          <w:bCs/>
          <w:color w:val="auto"/>
          <w:sz w:val="28"/>
          <w:szCs w:val="28"/>
        </w:rPr>
      </w:pPr>
    </w:p>
    <w:p>
      <w:pPr>
        <w:pStyle w:val="29"/>
        <w:rPr>
          <w:rFonts w:hint="eastAsia" w:asciiTheme="minorEastAsia" w:hAnsiTheme="minorEastAsia" w:eastAsiaTheme="minorEastAsia" w:cstheme="minorEastAsia"/>
          <w:color w:val="auto"/>
        </w:rPr>
      </w:pPr>
    </w:p>
    <w:p>
      <w:pPr>
        <w:adjustRightInd w:val="0"/>
        <w:snapToGrid w:val="0"/>
        <w:jc w:val="center"/>
        <w:outlineLvl w:val="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br w:type="page"/>
      </w:r>
      <w:bookmarkStart w:id="5" w:name="_Toc10124"/>
      <w:r>
        <w:rPr>
          <w:rFonts w:hint="eastAsia" w:asciiTheme="minorEastAsia" w:hAnsiTheme="minorEastAsia" w:eastAsiaTheme="minorEastAsia" w:cstheme="minorEastAsia"/>
          <w:b/>
          <w:color w:val="auto"/>
          <w:sz w:val="24"/>
        </w:rPr>
        <w:t>磋商须知正文</w:t>
      </w:r>
      <w:bookmarkEnd w:id="5"/>
    </w:p>
    <w:p>
      <w:pPr>
        <w:adjustRightInd w:val="0"/>
        <w:snapToGrid w:val="0"/>
        <w:spacing w:line="440" w:lineRule="exact"/>
        <w:outlineLvl w:val="1"/>
        <w:rPr>
          <w:rFonts w:hint="eastAsia" w:asciiTheme="minorEastAsia" w:hAnsiTheme="minorEastAsia" w:eastAsiaTheme="minorEastAsia" w:cstheme="minorEastAsia"/>
          <w:b/>
          <w:color w:val="auto"/>
          <w:sz w:val="24"/>
        </w:rPr>
      </w:pPr>
      <w:bookmarkStart w:id="6" w:name="_Toc21189"/>
      <w:r>
        <w:rPr>
          <w:rFonts w:hint="eastAsia" w:asciiTheme="minorEastAsia" w:hAnsiTheme="minorEastAsia" w:eastAsiaTheme="minorEastAsia" w:cstheme="minorEastAsia"/>
          <w:b/>
          <w:color w:val="auto"/>
          <w:sz w:val="24"/>
        </w:rPr>
        <w:t>一、说明</w:t>
      </w:r>
      <w:bookmarkEnd w:id="6"/>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1.适用范围</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 本磋商文件仅适用于磋商须知前附表(以下简称</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中所叙述的采购项目。</w:t>
      </w:r>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2.定义</w:t>
      </w:r>
    </w:p>
    <w:p>
      <w:pPr>
        <w:adjustRightInd w:val="0"/>
        <w:snapToGrid w:val="0"/>
        <w:spacing w:line="440" w:lineRule="exact"/>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2.1 “采购人”是指依法进行采购的国家机关、事业单位、团体组织。本次采购的采购人名称、地址、电话、联系人见</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w:t>
      </w:r>
    </w:p>
    <w:p>
      <w:pPr>
        <w:adjustRightInd w:val="0"/>
        <w:snapToGrid w:val="0"/>
        <w:spacing w:line="440" w:lineRule="exact"/>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2.2 “采购代理机构”是指接受采购人委托，代理采购项目的集中采购机构和其他采购代理机构。本次采购的采购代理机构名称、地址、电话、联系人见</w:t>
      </w:r>
      <w:r>
        <w:rPr>
          <w:rFonts w:hint="eastAsia" w:asciiTheme="minorEastAsia" w:hAnsiTheme="minorEastAsia" w:eastAsiaTheme="minorEastAsia" w:cstheme="minorEastAsia"/>
          <w:b/>
          <w:color w:val="auto"/>
          <w:szCs w:val="21"/>
        </w:rPr>
        <w:t>磋商须知前附表。</w:t>
      </w:r>
    </w:p>
    <w:p>
      <w:pPr>
        <w:adjustRightInd w:val="0"/>
        <w:snapToGrid w:val="0"/>
        <w:spacing w:line="440" w:lineRule="exact"/>
        <w:ind w:firstLine="420" w:firstLineChars="200"/>
        <w:rPr>
          <w:rFonts w:hint="eastAsia" w:asciiTheme="minorEastAsia" w:hAnsiTheme="minorEastAsia" w:eastAsiaTheme="minorEastAsia" w:cstheme="minorEastAsia"/>
          <w:bCs/>
          <w:color w:val="auto"/>
          <w:kern w:val="36"/>
          <w:szCs w:val="21"/>
        </w:rPr>
      </w:pPr>
      <w:r>
        <w:rPr>
          <w:rFonts w:hint="eastAsia" w:asciiTheme="minorEastAsia" w:hAnsiTheme="minorEastAsia" w:eastAsiaTheme="minorEastAsia" w:cstheme="minorEastAsia"/>
          <w:color w:val="auto"/>
          <w:szCs w:val="21"/>
        </w:rPr>
        <w:t>2.3 “供应商”是指响应磋商文件要求、参加竞争性磋商采购的法人、其他组织或者自然人。本次采购项目</w:t>
      </w:r>
      <w:r>
        <w:rPr>
          <w:rFonts w:hint="eastAsia" w:asciiTheme="minorEastAsia" w:hAnsiTheme="minorEastAsia" w:eastAsiaTheme="minorEastAsia" w:cstheme="minorEastAsia"/>
          <w:color w:val="auto"/>
          <w:kern w:val="0"/>
          <w:szCs w:val="21"/>
        </w:rPr>
        <w:t>邀请</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color w:val="auto"/>
          <w:kern w:val="0"/>
          <w:szCs w:val="21"/>
        </w:rPr>
        <w:t>供应商通过</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所述方式</w:t>
      </w:r>
      <w:r>
        <w:rPr>
          <w:rFonts w:hint="eastAsia" w:asciiTheme="minorEastAsia" w:hAnsiTheme="minorEastAsia" w:eastAsiaTheme="minorEastAsia" w:cstheme="minorEastAsia"/>
          <w:color w:val="auto"/>
          <w:kern w:val="0"/>
          <w:szCs w:val="21"/>
        </w:rPr>
        <w:t>，经</w:t>
      </w:r>
      <w:r>
        <w:rPr>
          <w:rFonts w:hint="eastAsia" w:asciiTheme="minorEastAsia" w:hAnsiTheme="minorEastAsia" w:eastAsiaTheme="minorEastAsia" w:cstheme="minorEastAsia"/>
          <w:bCs/>
          <w:color w:val="auto"/>
          <w:kern w:val="36"/>
          <w:szCs w:val="21"/>
        </w:rPr>
        <w:t>磋商小组确定。</w:t>
      </w:r>
      <w:r>
        <w:rPr>
          <w:rFonts w:hint="eastAsia" w:asciiTheme="minorEastAsia" w:hAnsiTheme="minorEastAsia" w:eastAsiaTheme="minorEastAsia" w:cstheme="minorEastAsia"/>
          <w:color w:val="auto"/>
          <w:szCs w:val="21"/>
        </w:rPr>
        <w:t>据此，采购人或采购代理机构</w:t>
      </w:r>
      <w:r>
        <w:rPr>
          <w:rFonts w:hint="eastAsia" w:asciiTheme="minorEastAsia" w:hAnsiTheme="minorEastAsia" w:eastAsiaTheme="minorEastAsia" w:cstheme="minorEastAsia"/>
          <w:bCs/>
          <w:color w:val="auto"/>
          <w:kern w:val="36"/>
          <w:szCs w:val="21"/>
        </w:rPr>
        <w:t>己向其</w:t>
      </w:r>
      <w:r>
        <w:rPr>
          <w:rFonts w:hint="eastAsia" w:asciiTheme="minorEastAsia" w:hAnsiTheme="minorEastAsia" w:eastAsiaTheme="minorEastAsia" w:cstheme="minorEastAsia"/>
          <w:color w:val="auto"/>
          <w:szCs w:val="21"/>
        </w:rPr>
        <w:t>发出磋商通知，</w:t>
      </w:r>
      <w:r>
        <w:rPr>
          <w:rFonts w:hint="eastAsia" w:asciiTheme="minorEastAsia" w:hAnsiTheme="minorEastAsia" w:eastAsiaTheme="minorEastAsia" w:cstheme="minorEastAsia"/>
          <w:color w:val="auto"/>
        </w:rPr>
        <w:t>供应商应持</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规定的资料领取或购买磋商文件。</w:t>
      </w:r>
    </w:p>
    <w:p>
      <w:pPr>
        <w:adjustRightInd w:val="0"/>
        <w:snapToGrid w:val="0"/>
        <w:spacing w:line="44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2.4 “磋商小组”是指</w:t>
      </w:r>
      <w:r>
        <w:rPr>
          <w:rFonts w:hint="eastAsia" w:asciiTheme="minorEastAsia" w:hAnsiTheme="minorEastAsia" w:eastAsiaTheme="minorEastAsia" w:cstheme="minorEastAsia"/>
          <w:color w:val="auto"/>
          <w:kern w:val="0"/>
          <w:szCs w:val="21"/>
        </w:rPr>
        <w:t>参照《中华人民共和国政府采购法》和财政部</w:t>
      </w:r>
      <w:r>
        <w:rPr>
          <w:rFonts w:hint="eastAsia" w:asciiTheme="minorEastAsia" w:hAnsiTheme="minorEastAsia" w:eastAsiaTheme="minorEastAsia" w:cstheme="minorEastAsia"/>
          <w:bCs/>
          <w:color w:val="auto"/>
          <w:kern w:val="36"/>
          <w:szCs w:val="21"/>
        </w:rPr>
        <w:t>《</w:t>
      </w:r>
      <w:r>
        <w:rPr>
          <w:rFonts w:hint="eastAsia" w:asciiTheme="minorEastAsia" w:hAnsiTheme="minorEastAsia" w:eastAsiaTheme="minorEastAsia" w:cstheme="minorEastAsia"/>
          <w:color w:val="auto"/>
          <w:kern w:val="0"/>
          <w:szCs w:val="21"/>
        </w:rPr>
        <w:t>政府采购竞争性磋商采购方式管理暂行办法</w:t>
      </w:r>
      <w:r>
        <w:rPr>
          <w:rFonts w:hint="eastAsia" w:asciiTheme="minorEastAsia" w:hAnsiTheme="minorEastAsia" w:eastAsiaTheme="minorEastAsia" w:cstheme="minorEastAsia"/>
          <w:bCs/>
          <w:color w:val="auto"/>
          <w:kern w:val="36"/>
          <w:szCs w:val="21"/>
        </w:rPr>
        <w:t>》以及</w:t>
      </w:r>
      <w:r>
        <w:rPr>
          <w:rFonts w:hint="eastAsia" w:asciiTheme="minorEastAsia" w:hAnsiTheme="minorEastAsia" w:eastAsiaTheme="minorEastAsia" w:cstheme="minorEastAsia"/>
          <w:b/>
          <w:color w:val="auto"/>
          <w:kern w:val="36"/>
          <w:szCs w:val="21"/>
        </w:rPr>
        <w:t>采购人</w:t>
      </w:r>
      <w:r>
        <w:rPr>
          <w:rFonts w:hint="eastAsia" w:asciiTheme="minorEastAsia" w:hAnsiTheme="minorEastAsia" w:eastAsiaTheme="minorEastAsia" w:cstheme="minorEastAsia"/>
          <w:bCs/>
          <w:color w:val="auto"/>
          <w:kern w:val="36"/>
          <w:szCs w:val="21"/>
        </w:rPr>
        <w:t>的有关规定组建，依法依规</w:t>
      </w:r>
      <w:r>
        <w:rPr>
          <w:rFonts w:hint="eastAsia" w:asciiTheme="minorEastAsia" w:hAnsiTheme="minorEastAsia" w:eastAsiaTheme="minorEastAsia" w:cstheme="minorEastAsia"/>
          <w:color w:val="auto"/>
          <w:kern w:val="0"/>
          <w:szCs w:val="21"/>
        </w:rPr>
        <w:t>履行其职责和义务的机构。</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 “服务”是指除货物和工程以外的其他采购对象。</w:t>
      </w:r>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3.供应商的资格要求</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 供应商应当符合</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中规定的下列资格条件要求；</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（l）投标人须为在中华人民共和国境内合法注册且存续有效的独立法人；</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（2）投标人不得直接或间接地与</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为本项目所委托的咨询公司或其附属机构有任何关联；</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（3）法定代表人为同一个人的两个或两个以上法人，母公司、全资子公司及其控股公司等关联公司不得在本项目中同时投标；</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 磋商文件</w:t>
      </w:r>
      <w:r>
        <w:rPr>
          <w:rFonts w:hint="eastAsia" w:asciiTheme="minorEastAsia" w:hAnsiTheme="minorEastAsia" w:eastAsiaTheme="minorEastAsia" w:cstheme="minorEastAsia"/>
          <w:color w:val="auto"/>
          <w:kern w:val="0"/>
          <w:szCs w:val="21"/>
          <w:lang w:val="zh-CN"/>
        </w:rPr>
        <w:t>规定的</w:t>
      </w:r>
      <w:r>
        <w:rPr>
          <w:rFonts w:hint="eastAsia" w:asciiTheme="minorEastAsia" w:hAnsiTheme="minorEastAsia" w:eastAsiaTheme="minorEastAsia" w:cstheme="minorEastAsia"/>
          <w:color w:val="auto"/>
          <w:szCs w:val="21"/>
        </w:rPr>
        <w:t xml:space="preserve">供应商特定资格条件。 </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供应商不得存在下列情形之一：</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（l）与采购人、采购代理机构存在</w:t>
      </w:r>
      <w:r>
        <w:rPr>
          <w:rFonts w:hint="eastAsia" w:asciiTheme="minorEastAsia" w:hAnsiTheme="minorEastAsia" w:eastAsiaTheme="minorEastAsia" w:cstheme="minorEastAsia"/>
          <w:bCs/>
          <w:color w:val="auto"/>
          <w:szCs w:val="21"/>
        </w:rPr>
        <w:t>隶属关系或者其他利害关系</w:t>
      </w:r>
      <w:r>
        <w:rPr>
          <w:rFonts w:hint="eastAsia" w:asciiTheme="minorEastAsia" w:hAnsiTheme="minorEastAsia" w:eastAsiaTheme="minorEastAsia" w:cstheme="minorEastAsia"/>
          <w:color w:val="auto"/>
          <w:szCs w:val="21"/>
        </w:rPr>
        <w:t>。</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（2）与其他供应商的法定代表人（或者负责人）为同一人，或者与其他供应商存在控股、关联关系。</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bCs/>
          <w:color w:val="auto"/>
          <w:szCs w:val="21"/>
        </w:rPr>
        <w:t>受到刑事处罚，或者受到三万元以上的罚款、责令停产停业、在一至三年内禁止参加政府采购活动、暂扣或者吊销许可证、暂扣或者吊销执照等情形之一的行政处罚，或者存在</w:t>
      </w:r>
      <w:r>
        <w:rPr>
          <w:rFonts w:hint="eastAsia" w:asciiTheme="minorEastAsia" w:hAnsiTheme="minorEastAsia" w:eastAsiaTheme="minorEastAsia" w:cstheme="minorEastAsia"/>
          <w:color w:val="auto"/>
          <w:szCs w:val="21"/>
        </w:rPr>
        <w:t>财政部门认定的其他重大违法记录。</w:t>
      </w:r>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 xml:space="preserve">4.参与磋商的费用 </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 无论磋商的结果如何，供应商应自行承担所有与竞争性磋商采购活动有关的全部费用。</w:t>
      </w:r>
    </w:p>
    <w:p>
      <w:pPr>
        <w:pStyle w:val="29"/>
        <w:adjustRightInd w:val="0"/>
        <w:snapToGrid w:val="0"/>
        <w:spacing w:line="440" w:lineRule="exac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color w:val="auto"/>
        </w:rPr>
        <w:t>5．</w:t>
      </w:r>
      <w:r>
        <w:rPr>
          <w:rFonts w:hint="eastAsia" w:asciiTheme="minorEastAsia" w:hAnsiTheme="minorEastAsia" w:eastAsiaTheme="minorEastAsia" w:cstheme="minorEastAsia"/>
          <w:b/>
          <w:bCs/>
          <w:color w:val="auto"/>
        </w:rPr>
        <w:t>授权委托</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5.1供应商代表为供应商法定代表人的，应持有法定代表人身份证明。供应商代表不是供应商法定代表人的，应持有法定代表人授权书，并附法定代表人身份证明。</w:t>
      </w:r>
    </w:p>
    <w:p>
      <w:pPr>
        <w:pStyle w:val="29"/>
        <w:adjustRightInd w:val="0"/>
        <w:snapToGrid w:val="0"/>
        <w:spacing w:line="440" w:lineRule="exac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6．联合体形式</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6.1除</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中另有规定，本次磋商采购不接受为联合体形式的供应商。</w:t>
      </w:r>
    </w:p>
    <w:p>
      <w:pPr>
        <w:adjustRightInd w:val="0"/>
        <w:snapToGrid w:val="0"/>
        <w:spacing w:line="440" w:lineRule="exact"/>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6.2供应商</w:t>
      </w:r>
      <w:r>
        <w:rPr>
          <w:rFonts w:hint="eastAsia" w:asciiTheme="minorEastAsia" w:hAnsiTheme="minorEastAsia" w:eastAsiaTheme="minorEastAsia" w:cstheme="minorEastAsia"/>
          <w:color w:val="auto"/>
        </w:rPr>
        <w:t>为联合体形式的</w:t>
      </w:r>
      <w:r>
        <w:rPr>
          <w:rFonts w:hint="eastAsia" w:asciiTheme="minorEastAsia" w:hAnsiTheme="minorEastAsia" w:eastAsiaTheme="minorEastAsia" w:cstheme="minorEastAsia"/>
          <w:color w:val="auto"/>
          <w:szCs w:val="21"/>
        </w:rPr>
        <w:t>，除应符合本章第3条规定外，还应遵守以下规定：</w:t>
      </w:r>
    </w:p>
    <w:p>
      <w:pPr>
        <w:adjustRightInd w:val="0"/>
        <w:snapToGrid w:val="0"/>
        <w:spacing w:line="440" w:lineRule="exact"/>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（l）联合体各方必须签订联合体协议书，明确联合体牵头人和各方的义务、工作、合同工作量比例；</w:t>
      </w:r>
    </w:p>
    <w:p>
      <w:pPr>
        <w:adjustRightInd w:val="0"/>
        <w:snapToGrid w:val="0"/>
        <w:spacing w:line="440" w:lineRule="exact"/>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（2）联合体各方均应当符合本章第3.1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规定的供应商基本资格条件；</w:t>
      </w:r>
    </w:p>
    <w:p>
      <w:pPr>
        <w:adjustRightInd w:val="0"/>
        <w:snapToGrid w:val="0"/>
        <w:spacing w:line="440" w:lineRule="exact"/>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rPr>
        <w:t>除</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中另有规定，</w:t>
      </w:r>
      <w:r>
        <w:rPr>
          <w:rFonts w:hint="eastAsia" w:asciiTheme="minorEastAsia" w:hAnsiTheme="minorEastAsia" w:eastAsiaTheme="minorEastAsia" w:cstheme="minorEastAsia"/>
          <w:color w:val="auto"/>
          <w:szCs w:val="21"/>
        </w:rPr>
        <w:t>联合体各方中至少有一方应当符合本章第3.1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规定的供应商特定资格条件；</w:t>
      </w:r>
    </w:p>
    <w:p>
      <w:pPr>
        <w:adjustRightInd w:val="0"/>
        <w:snapToGrid w:val="0"/>
        <w:spacing w:line="440" w:lineRule="exact"/>
        <w:ind w:firstLine="420" w:firstLineChars="200"/>
        <w:jc w:val="left"/>
        <w:rPr>
          <w:rFonts w:hint="eastAsia"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kern w:val="0"/>
          <w:szCs w:val="21"/>
          <w:lang w:val="zh-CN"/>
        </w:rPr>
        <w:t>联合体各方不得再单独或与其他供应商组成新的联合体参加同一项目的采购活动。</w:t>
      </w:r>
    </w:p>
    <w:p>
      <w:pPr>
        <w:adjustRightInd w:val="0"/>
        <w:snapToGrid w:val="0"/>
        <w:spacing w:line="44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7.现场勘察</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7.1供应商应按</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中规定</w:t>
      </w:r>
      <w:r>
        <w:rPr>
          <w:rFonts w:hint="eastAsia" w:asciiTheme="minorEastAsia" w:hAnsiTheme="minorEastAsia" w:eastAsiaTheme="minorEastAsia" w:cstheme="minorEastAsia"/>
          <w:color w:val="auto"/>
          <w:szCs w:val="21"/>
        </w:rPr>
        <w:t>对采购项目现场和周围环境的现场考察。</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7.2勘察现场的费用由供应商自己承担，勘察期间所发生的人身伤害及财产损失由供应商自己负责。</w:t>
      </w:r>
    </w:p>
    <w:p>
      <w:pPr>
        <w:adjustRightInd w:val="0"/>
        <w:snapToGrid w:val="0"/>
        <w:spacing w:line="440" w:lineRule="exact"/>
        <w:ind w:firstLine="420" w:firstLineChars="200"/>
        <w:jc w:val="lef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7.3采购人不对供应商据此而做出的推论、理解和结论负责。一旦成交，供应商不得以任何借口，提出额外补偿，或延长合同期限的要求。</w:t>
      </w:r>
    </w:p>
    <w:p>
      <w:pPr>
        <w:adjustRightInd w:val="0"/>
        <w:snapToGrid w:val="0"/>
        <w:spacing w:line="420" w:lineRule="exact"/>
        <w:ind w:left="906" w:hanging="906" w:hangingChars="376"/>
        <w:outlineLvl w:val="1"/>
        <w:rPr>
          <w:rFonts w:hint="eastAsia" w:asciiTheme="minorEastAsia" w:hAnsiTheme="minorEastAsia" w:eastAsiaTheme="minorEastAsia" w:cstheme="minorEastAsia"/>
          <w:b/>
          <w:color w:val="auto"/>
          <w:sz w:val="24"/>
        </w:rPr>
      </w:pPr>
      <w:bookmarkStart w:id="7" w:name="_Toc13821"/>
      <w:r>
        <w:rPr>
          <w:rFonts w:hint="eastAsia" w:asciiTheme="minorEastAsia" w:hAnsiTheme="minorEastAsia" w:eastAsiaTheme="minorEastAsia" w:cstheme="minorEastAsia"/>
          <w:b/>
          <w:color w:val="auto"/>
          <w:sz w:val="24"/>
        </w:rPr>
        <w:t>二、磋商文件</w:t>
      </w:r>
      <w:bookmarkEnd w:id="7"/>
    </w:p>
    <w:p>
      <w:pPr>
        <w:adjustRightInd w:val="0"/>
        <w:snapToGrid w:val="0"/>
        <w:spacing w:line="42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8．磋商文件的组成</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 磋商文件由下列文件组成：</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第一章 磋商通知</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第二章 磋商须知</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第三章 评审方法及标准</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第四章 采购合同格式条款</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第五章 采购需求</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第六章 响应文件组成</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w:t>
      </w:r>
      <w:r>
        <w:rPr>
          <w:rFonts w:hint="eastAsia" w:asciiTheme="minorEastAsia" w:hAnsiTheme="minorEastAsia" w:eastAsiaTheme="minorEastAsia" w:cstheme="minorEastAsia"/>
          <w:bCs/>
          <w:color w:val="auto"/>
        </w:rPr>
        <w:t>本章第11.1</w:t>
      </w:r>
      <w:r>
        <w:rPr>
          <w:rFonts w:hint="eastAsia" w:asciiTheme="minorEastAsia" w:hAnsiTheme="minorEastAsia" w:eastAsiaTheme="minorEastAsia" w:cstheme="minorEastAsia"/>
          <w:color w:val="auto"/>
          <w:lang w:val="zh-CN"/>
        </w:rPr>
        <w:t>款</w:t>
      </w:r>
      <w:r>
        <w:rPr>
          <w:rFonts w:hint="eastAsia" w:asciiTheme="minorEastAsia" w:hAnsiTheme="minorEastAsia" w:eastAsiaTheme="minorEastAsia" w:cstheme="minorEastAsia"/>
          <w:bCs/>
          <w:color w:val="auto"/>
        </w:rPr>
        <w:t>规定的</w:t>
      </w:r>
      <w:r>
        <w:rPr>
          <w:rFonts w:hint="eastAsia" w:asciiTheme="minorEastAsia" w:hAnsiTheme="minorEastAsia" w:eastAsiaTheme="minorEastAsia" w:cstheme="minorEastAsia"/>
          <w:color w:val="auto"/>
        </w:rPr>
        <w:t>提交首次响应文件截止时间前对磋商文件澄清或者修改内容，为磋商文件的组成部分。</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8.3磋商小组根据与供应商磋商情况可能实质性变动的内容，包括采购需求中的技术、服务要求以及合同条款，在</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中明确。</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8.4</w:t>
      </w:r>
      <w:r>
        <w:rPr>
          <w:rFonts w:hint="eastAsia" w:asciiTheme="minorEastAsia" w:hAnsiTheme="minorEastAsia" w:eastAsiaTheme="minorEastAsia" w:cstheme="minorEastAsia"/>
          <w:color w:val="auto"/>
          <w:szCs w:val="21"/>
        </w:rPr>
        <w:t>供应商应仔细阅读</w:t>
      </w:r>
      <w:r>
        <w:rPr>
          <w:rFonts w:hint="eastAsia" w:asciiTheme="minorEastAsia" w:hAnsiTheme="minorEastAsia" w:eastAsiaTheme="minorEastAsia" w:cstheme="minorEastAsia"/>
          <w:bCs/>
          <w:color w:val="auto"/>
          <w:szCs w:val="21"/>
        </w:rPr>
        <w:t>磋商</w:t>
      </w:r>
      <w:r>
        <w:rPr>
          <w:rFonts w:hint="eastAsia" w:asciiTheme="minorEastAsia" w:hAnsiTheme="minorEastAsia" w:eastAsiaTheme="minorEastAsia" w:cstheme="minorEastAsia"/>
          <w:color w:val="auto"/>
          <w:szCs w:val="21"/>
        </w:rPr>
        <w:t>文件的全部内容，按照</w:t>
      </w:r>
      <w:r>
        <w:rPr>
          <w:rFonts w:hint="eastAsia" w:asciiTheme="minorEastAsia" w:hAnsiTheme="minorEastAsia" w:eastAsiaTheme="minorEastAsia" w:cstheme="minorEastAsia"/>
          <w:bCs/>
          <w:color w:val="auto"/>
          <w:szCs w:val="21"/>
        </w:rPr>
        <w:t>磋商</w:t>
      </w:r>
      <w:r>
        <w:rPr>
          <w:rFonts w:hint="eastAsia" w:asciiTheme="minorEastAsia" w:hAnsiTheme="minorEastAsia" w:eastAsiaTheme="minorEastAsia" w:cstheme="minorEastAsia"/>
          <w:color w:val="auto"/>
          <w:szCs w:val="21"/>
        </w:rPr>
        <w:t>文件要求编制响应文件。任何对</w:t>
      </w:r>
      <w:r>
        <w:rPr>
          <w:rFonts w:hint="eastAsia" w:asciiTheme="minorEastAsia" w:hAnsiTheme="minorEastAsia" w:eastAsiaTheme="minorEastAsia" w:cstheme="minorEastAsia"/>
          <w:bCs/>
          <w:color w:val="auto"/>
          <w:szCs w:val="21"/>
        </w:rPr>
        <w:t>磋商</w:t>
      </w:r>
      <w:r>
        <w:rPr>
          <w:rFonts w:hint="eastAsia" w:asciiTheme="minorEastAsia" w:hAnsiTheme="minorEastAsia" w:eastAsiaTheme="minorEastAsia" w:cstheme="minorEastAsia"/>
          <w:color w:val="auto"/>
          <w:szCs w:val="21"/>
        </w:rPr>
        <w:t>文件的忽略或误解不能作为响应文件存在缺陷或瑕疵的理由，其风险由供应商承担。</w:t>
      </w:r>
    </w:p>
    <w:p>
      <w:pPr>
        <w:pStyle w:val="29"/>
        <w:adjustRightInd w:val="0"/>
        <w:snapToGri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9.提交首次响应文件的截止时间</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9.1供应商提交首次响应文件截止时间见</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w:t>
      </w:r>
    </w:p>
    <w:p>
      <w:pPr>
        <w:adjustRightInd w:val="0"/>
        <w:snapToGrid w:val="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10.磋商文件的澄清</w:t>
      </w:r>
      <w:r>
        <w:rPr>
          <w:rFonts w:hint="eastAsia" w:asciiTheme="minorEastAsia" w:hAnsiTheme="minorEastAsia" w:eastAsiaTheme="minorEastAsia" w:cstheme="minorEastAsia"/>
          <w:b/>
          <w:color w:val="auto"/>
          <w:kern w:val="0"/>
          <w:szCs w:val="21"/>
          <w:lang w:val="zh-CN"/>
        </w:rPr>
        <w:t>或者</w:t>
      </w:r>
      <w:r>
        <w:rPr>
          <w:rFonts w:hint="eastAsia" w:asciiTheme="minorEastAsia" w:hAnsiTheme="minorEastAsia" w:eastAsiaTheme="minorEastAsia" w:cstheme="minorEastAsia"/>
          <w:b/>
          <w:bCs/>
          <w:color w:val="auto"/>
          <w:szCs w:val="21"/>
        </w:rPr>
        <w:t>修改</w:t>
      </w:r>
    </w:p>
    <w:p>
      <w:pPr>
        <w:adjustRightInd w:val="0"/>
        <w:snapToGrid w:val="0"/>
        <w:ind w:right="-105" w:rightChars="-5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12.1在</w:t>
      </w:r>
      <w:r>
        <w:rPr>
          <w:rFonts w:hint="eastAsia" w:asciiTheme="minorEastAsia" w:hAnsiTheme="minorEastAsia" w:eastAsiaTheme="minorEastAsia" w:cstheme="minorEastAsia"/>
          <w:bCs/>
          <w:color w:val="auto"/>
          <w:szCs w:val="21"/>
        </w:rPr>
        <w:t>本章第9.1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bCs/>
          <w:color w:val="auto"/>
          <w:szCs w:val="21"/>
        </w:rPr>
        <w:t>规定的</w:t>
      </w:r>
      <w:r>
        <w:rPr>
          <w:rFonts w:hint="eastAsia" w:asciiTheme="minorEastAsia" w:hAnsiTheme="minorEastAsia" w:eastAsiaTheme="minorEastAsia" w:cstheme="minorEastAsia"/>
          <w:color w:val="auto"/>
          <w:kern w:val="0"/>
          <w:szCs w:val="21"/>
        </w:rPr>
        <w:t xml:space="preserve">提交首次响应文件截止之日前，采购人、采购代理机构或者磋商小组可以对已发出的磋商文件进行必要的澄清或者修改。 </w:t>
      </w:r>
    </w:p>
    <w:p>
      <w:pPr>
        <w:adjustRightInd w:val="0"/>
        <w:snapToGrid w:val="0"/>
        <w:ind w:right="-105" w:rightChars="-5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12.2</w:t>
      </w:r>
      <w:r>
        <w:rPr>
          <w:rFonts w:hint="eastAsia" w:asciiTheme="minorEastAsia" w:hAnsiTheme="minorEastAsia" w:eastAsiaTheme="minorEastAsia" w:cstheme="minorEastAsia"/>
          <w:color w:val="auto"/>
          <w:kern w:val="0"/>
          <w:szCs w:val="21"/>
        </w:rPr>
        <w:t>澄清或者修改的内容可能影响响应文件编制的，采购人、采购代理机构或者磋商小组应当在</w:t>
      </w:r>
      <w:r>
        <w:rPr>
          <w:rFonts w:hint="eastAsia" w:asciiTheme="minorEastAsia" w:hAnsiTheme="minorEastAsia" w:eastAsiaTheme="minorEastAsia" w:cstheme="minorEastAsia"/>
          <w:bCs/>
          <w:color w:val="auto"/>
          <w:szCs w:val="21"/>
        </w:rPr>
        <w:t>本章第9.1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bCs/>
          <w:color w:val="auto"/>
          <w:szCs w:val="21"/>
        </w:rPr>
        <w:t>规定的</w:t>
      </w:r>
      <w:r>
        <w:rPr>
          <w:rFonts w:hint="eastAsia" w:asciiTheme="minorEastAsia" w:hAnsiTheme="minorEastAsia" w:eastAsiaTheme="minorEastAsia" w:cstheme="minorEastAsia"/>
          <w:color w:val="auto"/>
          <w:kern w:val="0"/>
          <w:szCs w:val="21"/>
        </w:rPr>
        <w:t>提交首次响应文件截止之日5日前，以书面形式通知所有接收磋商文件的供应商，不足5日的，顺延供应商提交首次响应文件截止时间。</w:t>
      </w:r>
    </w:p>
    <w:p>
      <w:pPr>
        <w:adjustRightInd w:val="0"/>
        <w:snapToGrid w:val="0"/>
        <w:outlineLvl w:val="1"/>
        <w:rPr>
          <w:rFonts w:hint="eastAsia" w:asciiTheme="minorEastAsia" w:hAnsiTheme="minorEastAsia" w:eastAsiaTheme="minorEastAsia" w:cstheme="minorEastAsia"/>
          <w:b/>
          <w:color w:val="auto"/>
          <w:sz w:val="24"/>
        </w:rPr>
      </w:pPr>
      <w:bookmarkStart w:id="8" w:name="_Toc6624"/>
      <w:r>
        <w:rPr>
          <w:rFonts w:hint="eastAsia" w:asciiTheme="minorEastAsia" w:hAnsiTheme="minorEastAsia" w:eastAsiaTheme="minorEastAsia" w:cstheme="minorEastAsia"/>
          <w:b/>
          <w:color w:val="auto"/>
          <w:sz w:val="24"/>
        </w:rPr>
        <w:t>三、响应文件</w:t>
      </w:r>
      <w:bookmarkEnd w:id="8"/>
    </w:p>
    <w:p>
      <w:pPr>
        <w:adjustRightInd w:val="0"/>
        <w:snapToGrid w:val="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11.一般要求</w:t>
      </w:r>
    </w:p>
    <w:p>
      <w:pPr>
        <w:adjustRightInd w:val="0"/>
        <w:snapToGrid w:val="0"/>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11.1 供应商应仔细阅读磋商文件的所有内容，按磋商文件的要求编制响应文件，并保证所提供的全部资料的真实性，以使其响应文件对磋商文件做出实质性的响应。</w:t>
      </w:r>
    </w:p>
    <w:p>
      <w:pPr>
        <w:adjustRightInd w:val="0"/>
        <w:snapToGrid w:val="0"/>
        <w:ind w:firstLine="420" w:firstLineChars="200"/>
        <w:rPr>
          <w:rFonts w:hint="eastAsia" w:asciiTheme="minorEastAsia" w:hAnsiTheme="minorEastAsia" w:eastAsiaTheme="minorEastAsia" w:cstheme="minorEastAsia"/>
          <w:bCs/>
          <w:color w:val="auto"/>
          <w:spacing w:val="-2"/>
          <w:szCs w:val="21"/>
        </w:rPr>
      </w:pPr>
      <w:r>
        <w:rPr>
          <w:rFonts w:hint="eastAsia" w:asciiTheme="minorEastAsia" w:hAnsiTheme="minorEastAsia" w:eastAsiaTheme="minorEastAsia" w:cstheme="minorEastAsia"/>
          <w:bCs/>
          <w:color w:val="auto"/>
          <w:szCs w:val="21"/>
        </w:rPr>
        <w:t xml:space="preserve">11.2 </w:t>
      </w:r>
      <w:r>
        <w:rPr>
          <w:rFonts w:hint="eastAsia" w:asciiTheme="minorEastAsia" w:hAnsiTheme="minorEastAsia" w:eastAsiaTheme="minorEastAsia" w:cstheme="minorEastAsia"/>
          <w:color w:val="auto"/>
          <w:spacing w:val="-2"/>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 xml:space="preserve">11.3 </w:t>
      </w:r>
      <w:r>
        <w:rPr>
          <w:rFonts w:hint="eastAsia" w:asciiTheme="minorEastAsia" w:hAnsiTheme="minorEastAsia" w:eastAsiaTheme="minorEastAsia" w:cstheme="minorEastAsia"/>
          <w:color w:val="auto"/>
        </w:rPr>
        <w:t>计量单位应使用我国法定计量单位，未列明时应默认为我国法定计量单位。</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11.4 响应文件应采用书面形式，电报、传真、电子邮件形式的响应文件概不接受。</w:t>
      </w:r>
    </w:p>
    <w:p>
      <w:pPr>
        <w:adjustRightInd w:val="0"/>
        <w:snapToGrid w:val="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11.5 供应商应按磋商文件中提供的响应文件格式填写。</w:t>
      </w:r>
    </w:p>
    <w:p>
      <w:pPr>
        <w:adjustRightInd w:val="0"/>
        <w:snapToGrid w:val="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12.</w:t>
      </w:r>
      <w:r>
        <w:rPr>
          <w:rFonts w:hint="eastAsia" w:asciiTheme="minorEastAsia" w:hAnsiTheme="minorEastAsia" w:eastAsiaTheme="minorEastAsia" w:cstheme="minorEastAsia"/>
          <w:b/>
          <w:color w:val="auto"/>
          <w:szCs w:val="21"/>
        </w:rPr>
        <w:t>响应文件</w:t>
      </w:r>
      <w:r>
        <w:rPr>
          <w:rFonts w:hint="eastAsia" w:asciiTheme="minorEastAsia" w:hAnsiTheme="minorEastAsia" w:eastAsiaTheme="minorEastAsia" w:cstheme="minorEastAsia"/>
          <w:b/>
          <w:bCs/>
          <w:color w:val="auto"/>
          <w:szCs w:val="21"/>
        </w:rPr>
        <w:t>的组成</w:t>
      </w:r>
    </w:p>
    <w:p>
      <w:pPr>
        <w:adjustRightInd w:val="0"/>
        <w:snapToGrid w:val="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12.1 响应文件包括不限于下列内容：</w:t>
      </w:r>
      <w:r>
        <w:rPr>
          <w:rFonts w:hint="eastAsia" w:asciiTheme="minorEastAsia" w:hAnsiTheme="minorEastAsia" w:eastAsiaTheme="minorEastAsia" w:cstheme="minorEastAsia"/>
          <w:color w:val="auto"/>
          <w:szCs w:val="21"/>
        </w:rPr>
        <w:t xml:space="preserve"> </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（1）磋商响应声明</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（2）保证金</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（3）供应商的资格证明文件</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（4）货物说明或者施工组织设计或者服务方案(根据项目属性编制)</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（5）技术/商务响应与偏离表</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（6）报价一览表及报价文件，以及规定格式的首次报价的报价一览表及报价文件的电子文件</w:t>
      </w:r>
    </w:p>
    <w:p>
      <w:pPr>
        <w:spacing w:line="440" w:lineRule="exact"/>
        <w:ind w:firstLine="432" w:firstLineChars="20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（7）供应商认为需提供的其他资料</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12.2除</w:t>
      </w:r>
      <w:r>
        <w:rPr>
          <w:rFonts w:hint="eastAsia" w:asciiTheme="minorEastAsia" w:hAnsiTheme="minorEastAsia" w:eastAsiaTheme="minorEastAsia" w:cstheme="minorEastAsia"/>
          <w:b/>
          <w:color w:val="auto"/>
        </w:rPr>
        <w:t>磋商文件前附表</w:t>
      </w:r>
      <w:r>
        <w:rPr>
          <w:rFonts w:hint="eastAsia" w:asciiTheme="minorEastAsia" w:hAnsiTheme="minorEastAsia" w:eastAsiaTheme="minorEastAsia" w:cstheme="minorEastAsia"/>
          <w:color w:val="auto"/>
        </w:rPr>
        <w:t>另有规定外，供应商提供的货物及服务不是供应商制造或拥有的,则应当提供经销、或代理磋商货物、或为磋商货物提供售后服务的证明文件。否则，在磋商时将其视为无效响应文件。</w:t>
      </w:r>
    </w:p>
    <w:p>
      <w:pPr>
        <w:adjustRightInd w:val="0"/>
        <w:snapToGrid w:val="0"/>
        <w:spacing w:beforeLines="5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12.3</w:t>
      </w:r>
      <w:r>
        <w:rPr>
          <w:rFonts w:hint="eastAsia" w:asciiTheme="minorEastAsia" w:hAnsiTheme="minorEastAsia" w:eastAsiaTheme="minorEastAsia" w:cstheme="minorEastAsia"/>
          <w:b/>
          <w:color w:val="auto"/>
          <w:szCs w:val="21"/>
        </w:rPr>
        <w:t>磋商文件前附表</w:t>
      </w:r>
      <w:r>
        <w:rPr>
          <w:rFonts w:hint="eastAsia" w:asciiTheme="minorEastAsia" w:hAnsiTheme="minorEastAsia" w:eastAsiaTheme="minorEastAsia" w:cstheme="minorEastAsia"/>
          <w:color w:val="auto"/>
          <w:szCs w:val="21"/>
        </w:rPr>
        <w:t>规定供应商在磋商时提供样品的，供应商有以下情形之一的，在磋商时将其视为无效响应文件。</w:t>
      </w:r>
    </w:p>
    <w:p>
      <w:pPr>
        <w:adjustRightInd w:val="0"/>
        <w:snapToGrid w:val="0"/>
        <w:spacing w:beforeLines="5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（1）未在</w:t>
      </w:r>
      <w:r>
        <w:rPr>
          <w:rFonts w:hint="eastAsia" w:asciiTheme="minorEastAsia" w:hAnsiTheme="minorEastAsia" w:eastAsiaTheme="minorEastAsia" w:cstheme="minorEastAsia"/>
          <w:b/>
          <w:color w:val="auto"/>
          <w:szCs w:val="21"/>
        </w:rPr>
        <w:t>磋商文件前附表</w:t>
      </w:r>
      <w:r>
        <w:rPr>
          <w:rFonts w:hint="eastAsia" w:asciiTheme="minorEastAsia" w:hAnsiTheme="minorEastAsia" w:eastAsiaTheme="minorEastAsia" w:cstheme="minorEastAsia"/>
          <w:color w:val="auto"/>
          <w:szCs w:val="21"/>
        </w:rPr>
        <w:t>规定的提交时间、地点提交的；</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（2）供应商提供的样品与响应文件中型号、规格不一致的。</w:t>
      </w:r>
    </w:p>
    <w:p>
      <w:pPr>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12.4在磋商过程中，</w:t>
      </w:r>
      <w:r>
        <w:rPr>
          <w:rFonts w:hint="eastAsia" w:asciiTheme="minorEastAsia" w:hAnsiTheme="minorEastAsia" w:eastAsiaTheme="minorEastAsia" w:cstheme="minorEastAsia"/>
          <w:color w:val="auto"/>
          <w:szCs w:val="21"/>
        </w:rPr>
        <w:t>供应商</w:t>
      </w:r>
      <w:r>
        <w:rPr>
          <w:rFonts w:hint="eastAsia" w:asciiTheme="minorEastAsia" w:hAnsiTheme="minorEastAsia" w:eastAsiaTheme="minorEastAsia" w:cstheme="minorEastAsia"/>
          <w:color w:val="auto"/>
        </w:rPr>
        <w:t>根据</w:t>
      </w:r>
      <w:r>
        <w:rPr>
          <w:rFonts w:hint="eastAsia" w:asciiTheme="minorEastAsia" w:hAnsiTheme="minorEastAsia" w:eastAsiaTheme="minorEastAsia" w:cstheme="minorEastAsia"/>
          <w:color w:val="auto"/>
          <w:kern w:val="0"/>
          <w:szCs w:val="21"/>
        </w:rPr>
        <w:t>磋商小组</w:t>
      </w:r>
      <w:r>
        <w:rPr>
          <w:rFonts w:hint="eastAsia" w:asciiTheme="minorEastAsia" w:hAnsiTheme="minorEastAsia" w:eastAsiaTheme="minorEastAsia" w:cstheme="minorEastAsia"/>
          <w:bCs/>
          <w:color w:val="auto"/>
          <w:szCs w:val="21"/>
        </w:rPr>
        <w:t>书面形式要求</w:t>
      </w:r>
      <w:r>
        <w:rPr>
          <w:rFonts w:hint="eastAsia" w:asciiTheme="minorEastAsia" w:hAnsiTheme="minorEastAsia" w:eastAsiaTheme="minorEastAsia" w:cstheme="minorEastAsia"/>
          <w:color w:val="auto"/>
          <w:kern w:val="0"/>
          <w:szCs w:val="21"/>
        </w:rPr>
        <w:t>提交的</w:t>
      </w:r>
      <w:r>
        <w:rPr>
          <w:rFonts w:hint="eastAsia" w:asciiTheme="minorEastAsia" w:hAnsiTheme="minorEastAsia" w:eastAsiaTheme="minorEastAsia" w:cstheme="minorEastAsia"/>
          <w:color w:val="auto"/>
        </w:rPr>
        <w:t>最后报价(或者</w:t>
      </w:r>
      <w:r>
        <w:rPr>
          <w:rFonts w:hint="eastAsia" w:asciiTheme="minorEastAsia" w:hAnsiTheme="minorEastAsia" w:eastAsiaTheme="minorEastAsia" w:cstheme="minorEastAsia"/>
          <w:bCs/>
          <w:color w:val="auto"/>
          <w:szCs w:val="21"/>
        </w:rPr>
        <w:t>重</w:t>
      </w:r>
      <w:r>
        <w:rPr>
          <w:rFonts w:hint="eastAsia" w:asciiTheme="minorEastAsia" w:hAnsiTheme="minorEastAsia" w:eastAsiaTheme="minorEastAsia" w:cstheme="minorEastAsia"/>
          <w:color w:val="auto"/>
          <w:kern w:val="0"/>
          <w:szCs w:val="21"/>
        </w:rPr>
        <w:t>新提交的响应文件和</w:t>
      </w:r>
      <w:r>
        <w:rPr>
          <w:rFonts w:hint="eastAsia" w:asciiTheme="minorEastAsia" w:hAnsiTheme="minorEastAsia" w:eastAsiaTheme="minorEastAsia" w:cstheme="minorEastAsia"/>
          <w:color w:val="auto"/>
        </w:rPr>
        <w:t>最后报价)是</w:t>
      </w:r>
      <w:r>
        <w:rPr>
          <w:rFonts w:hint="eastAsia" w:asciiTheme="minorEastAsia" w:hAnsiTheme="minorEastAsia" w:eastAsiaTheme="minorEastAsia" w:cstheme="minorEastAsia"/>
          <w:color w:val="auto"/>
          <w:szCs w:val="21"/>
        </w:rPr>
        <w:t>响应文件</w:t>
      </w:r>
      <w:r>
        <w:rPr>
          <w:rFonts w:hint="eastAsia" w:asciiTheme="minorEastAsia" w:hAnsiTheme="minorEastAsia" w:eastAsiaTheme="minorEastAsia" w:cstheme="minorEastAsia"/>
          <w:color w:val="auto"/>
        </w:rPr>
        <w:t>的有效组成部分。</w:t>
      </w:r>
    </w:p>
    <w:p>
      <w:pPr>
        <w:adjustRightInd w:val="0"/>
        <w:snapToGrid w:val="0"/>
        <w:spacing w:line="420" w:lineRule="exact"/>
        <w:ind w:firstLine="420" w:firstLineChars="2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12.5</w:t>
      </w:r>
      <w:r>
        <w:rPr>
          <w:rFonts w:hint="eastAsia" w:asciiTheme="minorEastAsia" w:hAnsiTheme="minorEastAsia" w:eastAsiaTheme="minorEastAsia" w:cstheme="minorEastAsia"/>
          <w:color w:val="auto"/>
          <w:kern w:val="0"/>
          <w:szCs w:val="21"/>
        </w:rPr>
        <w:t>磋商文件规定可能发生实质性变动的，供应商应当在</w:t>
      </w:r>
      <w:r>
        <w:rPr>
          <w:rFonts w:hint="eastAsia" w:asciiTheme="minorEastAsia" w:hAnsiTheme="minorEastAsia" w:eastAsiaTheme="minorEastAsia" w:cstheme="minorEastAsia"/>
          <w:color w:val="auto"/>
        </w:rPr>
        <w:t>《技术/商务响应与偏离表》中对应内容注明。</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12.6</w:t>
      </w:r>
      <w:r>
        <w:rPr>
          <w:rFonts w:hint="eastAsia" w:asciiTheme="minorEastAsia" w:hAnsiTheme="minorEastAsia" w:eastAsiaTheme="minorEastAsia" w:cstheme="minorEastAsia"/>
          <w:color w:val="auto"/>
          <w:szCs w:val="21"/>
        </w:rPr>
        <w:t>参照《政府采购法》第四十二条的规定，供应商无论成交与否，其响应文件不予退还。</w:t>
      </w:r>
    </w:p>
    <w:p>
      <w:pPr>
        <w:adjustRightInd w:val="0"/>
        <w:snapToGrid w:val="0"/>
        <w:spacing w:line="42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13.报价</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13.1供应商应当根据磋商文件要求和范围，以人民币报价，以万元为单位，保留小数点后两位。</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13.2供应商应按第五章“采购需求”要求及第五章“响应文件组成”格式填写。供应商在</w:t>
      </w:r>
      <w:r>
        <w:rPr>
          <w:rFonts w:hint="eastAsia" w:asciiTheme="minorEastAsia" w:hAnsiTheme="minorEastAsia" w:eastAsiaTheme="minorEastAsia" w:cstheme="minorEastAsia"/>
          <w:bCs/>
          <w:color w:val="auto"/>
        </w:rPr>
        <w:t>本章第9.1</w:t>
      </w:r>
      <w:r>
        <w:rPr>
          <w:rFonts w:hint="eastAsia" w:asciiTheme="minorEastAsia" w:hAnsiTheme="minorEastAsia" w:eastAsiaTheme="minorEastAsia" w:cstheme="minorEastAsia"/>
          <w:color w:val="auto"/>
          <w:lang w:val="zh-CN"/>
        </w:rPr>
        <w:t>款</w:t>
      </w:r>
      <w:r>
        <w:rPr>
          <w:rFonts w:hint="eastAsia" w:asciiTheme="minorEastAsia" w:hAnsiTheme="minorEastAsia" w:eastAsiaTheme="minorEastAsia" w:cstheme="minorEastAsia"/>
          <w:bCs/>
          <w:color w:val="auto"/>
        </w:rPr>
        <w:t>规定的</w:t>
      </w:r>
      <w:r>
        <w:rPr>
          <w:rFonts w:hint="eastAsia" w:asciiTheme="minorEastAsia" w:hAnsiTheme="minorEastAsia" w:eastAsiaTheme="minorEastAsia" w:cstheme="minorEastAsia"/>
          <w:color w:val="auto"/>
        </w:rPr>
        <w:t>提交首次响应文件截止之日前修改报价一览表中的报价，应同时修改其按第六章要求填写的相应表格中的报价。此修改须符合本章第19.1款的有关要求。</w:t>
      </w:r>
    </w:p>
    <w:p>
      <w:pPr>
        <w:pStyle w:val="29"/>
        <w:adjustRightInd w:val="0"/>
        <w:snapToGrid w:val="0"/>
        <w:spacing w:line="420" w:lineRule="exact"/>
        <w:ind w:firstLine="422" w:firstLineChars="2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13.3响应文件中标明的价格在合同执行过程中是固定不变的，不得以任何理由予以变更。以可变动价格提交的报价将被认为是非实质响应而被拒绝。</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13.4</w:t>
      </w:r>
      <w:r>
        <w:rPr>
          <w:rFonts w:hint="eastAsia" w:asciiTheme="minorEastAsia" w:hAnsiTheme="minorEastAsia" w:eastAsiaTheme="minorEastAsia" w:cstheme="minorEastAsia"/>
          <w:color w:val="auto"/>
          <w:lang w:val="zh-CN"/>
        </w:rPr>
        <w:t>供应商</w:t>
      </w:r>
      <w:r>
        <w:rPr>
          <w:rFonts w:hint="eastAsia" w:asciiTheme="minorEastAsia" w:hAnsiTheme="minorEastAsia" w:eastAsiaTheme="minorEastAsia" w:cstheme="minorEastAsia"/>
          <w:color w:val="auto"/>
        </w:rPr>
        <w:t>的报价不得超过采购项目预算，采购项目预算或其计算方法见</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w:t>
      </w:r>
    </w:p>
    <w:p>
      <w:pPr>
        <w:pStyle w:val="29"/>
        <w:adjustRightInd w:val="0"/>
        <w:snapToGrid w:val="0"/>
        <w:spacing w:line="420" w:lineRule="exac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14.供应商符合磋商文件规定的证明文件</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lang w:val="zh-CN"/>
        </w:rPr>
        <w:t>14.1</w:t>
      </w:r>
      <w:r>
        <w:rPr>
          <w:rFonts w:hint="eastAsia" w:asciiTheme="minorEastAsia" w:hAnsiTheme="minorEastAsia" w:eastAsiaTheme="minorEastAsia" w:cstheme="minorEastAsia"/>
          <w:color w:val="auto"/>
          <w:szCs w:val="21"/>
        </w:rPr>
        <w:t>在磋商</w:t>
      </w:r>
      <w:r>
        <w:rPr>
          <w:rFonts w:hint="eastAsia" w:asciiTheme="minorEastAsia" w:hAnsiTheme="minorEastAsia" w:eastAsiaTheme="minorEastAsia" w:cstheme="minorEastAsia"/>
          <w:bCs/>
          <w:color w:val="auto"/>
          <w:szCs w:val="21"/>
        </w:rPr>
        <w:t>小组确定邀请供应商名单起</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kern w:val="0"/>
        </w:rPr>
        <w:t>提交首次响应文件</w:t>
      </w:r>
      <w:r>
        <w:rPr>
          <w:rFonts w:hint="eastAsia" w:asciiTheme="minorEastAsia" w:hAnsiTheme="minorEastAsia" w:eastAsiaTheme="minorEastAsia" w:cstheme="minorEastAsia"/>
          <w:color w:val="auto"/>
          <w:szCs w:val="21"/>
        </w:rPr>
        <w:t>止，供应商资格条件发生重大变化，影响或者可能影响资格条件的，供应商应更新或者补充提供的资格证明材料，以证实其各项条件仍能继续满足本章第3.1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规定的供应商资格条件要求。</w:t>
      </w:r>
    </w:p>
    <w:p>
      <w:pPr>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szCs w:val="21"/>
        </w:rPr>
        <w:t>14.2</w:t>
      </w:r>
      <w:r>
        <w:rPr>
          <w:rFonts w:hint="eastAsia" w:asciiTheme="minorEastAsia" w:hAnsiTheme="minorEastAsia" w:eastAsiaTheme="minorEastAsia" w:cstheme="minorEastAsia"/>
          <w:color w:val="auto"/>
          <w:kern w:val="0"/>
          <w:lang w:val="zh-CN"/>
        </w:rPr>
        <w:t>供应商</w:t>
      </w:r>
      <w:r>
        <w:rPr>
          <w:rFonts w:hint="eastAsia" w:asciiTheme="minorEastAsia" w:hAnsiTheme="minorEastAsia" w:eastAsiaTheme="minorEastAsia" w:cstheme="minorEastAsia"/>
          <w:color w:val="auto"/>
        </w:rPr>
        <w:t>为联合体形式的，则应提交联合体各方资格文件、联合体协议，否则将视为非实质响应而被拒绝。</w:t>
      </w:r>
    </w:p>
    <w:p>
      <w:pPr>
        <w:adjustRightInd w:val="0"/>
        <w:snapToGrid w:val="0"/>
        <w:spacing w:line="42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15.保证金</w:t>
      </w:r>
    </w:p>
    <w:p>
      <w:pPr>
        <w:pStyle w:val="29"/>
        <w:adjustRightInd w:val="0"/>
        <w:snapToGrid w:val="0"/>
        <w:spacing w:line="420" w:lineRule="exact"/>
        <w:ind w:firstLine="420" w:firstLineChars="2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15.1</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规定交纳</w:t>
      </w:r>
      <w:r>
        <w:rPr>
          <w:rFonts w:hint="eastAsia" w:asciiTheme="minorEastAsia" w:hAnsiTheme="minorEastAsia" w:eastAsiaTheme="minorEastAsia" w:cstheme="minorEastAsia"/>
          <w:bCs/>
          <w:color w:val="auto"/>
        </w:rPr>
        <w:t>保证金的</w:t>
      </w:r>
      <w:r>
        <w:rPr>
          <w:rFonts w:hint="eastAsia" w:asciiTheme="minorEastAsia" w:hAnsiTheme="minorEastAsia" w:eastAsiaTheme="minorEastAsia" w:cstheme="minorEastAsia"/>
          <w:color w:val="auto"/>
        </w:rPr>
        <w:t>，应按</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规定的</w:t>
      </w:r>
      <w:r>
        <w:rPr>
          <w:rFonts w:hint="eastAsia" w:asciiTheme="minorEastAsia" w:hAnsiTheme="minorEastAsia" w:eastAsiaTheme="minorEastAsia" w:cstheme="minorEastAsia"/>
          <w:bCs/>
          <w:color w:val="auto"/>
        </w:rPr>
        <w:t>保证金形式交纳，不得以现金方式交纳</w:t>
      </w:r>
      <w:r>
        <w:rPr>
          <w:rFonts w:hint="eastAsia" w:asciiTheme="minorEastAsia" w:hAnsiTheme="minorEastAsia" w:eastAsiaTheme="minorEastAsia" w:cstheme="minorEastAsia"/>
          <w:color w:val="auto"/>
        </w:rPr>
        <w:t>，在本章第9.1</w:t>
      </w:r>
      <w:r>
        <w:rPr>
          <w:rFonts w:hint="eastAsia" w:asciiTheme="minorEastAsia" w:hAnsiTheme="minorEastAsia" w:eastAsiaTheme="minorEastAsia" w:cstheme="minorEastAsia"/>
          <w:color w:val="auto"/>
          <w:lang w:val="zh-CN"/>
        </w:rPr>
        <w:t>款</w:t>
      </w:r>
      <w:r>
        <w:rPr>
          <w:rFonts w:hint="eastAsia" w:asciiTheme="minorEastAsia" w:hAnsiTheme="minorEastAsia" w:eastAsiaTheme="minorEastAsia" w:cstheme="minorEastAsia"/>
          <w:color w:val="auto"/>
        </w:rPr>
        <w:t>规定的提交首次响应文件截止时间前，</w:t>
      </w:r>
      <w:r>
        <w:rPr>
          <w:rFonts w:hint="eastAsia" w:asciiTheme="minorEastAsia" w:hAnsiTheme="minorEastAsia" w:eastAsiaTheme="minorEastAsia" w:cstheme="minorEastAsia"/>
          <w:bCs/>
          <w:color w:val="auto"/>
        </w:rPr>
        <w:t>向采购代理机构交纳不超过</w:t>
      </w:r>
      <w:r>
        <w:rPr>
          <w:rFonts w:hint="eastAsia" w:asciiTheme="minorEastAsia" w:hAnsiTheme="minorEastAsia" w:eastAsiaTheme="minorEastAsia" w:cstheme="minorEastAsia"/>
          <w:color w:val="auto"/>
          <w:lang w:val="zh-CN"/>
        </w:rPr>
        <w:t>采购项目预算2﹪</w:t>
      </w:r>
      <w:r>
        <w:rPr>
          <w:rFonts w:hint="eastAsia" w:asciiTheme="minorEastAsia" w:hAnsiTheme="minorEastAsia" w:eastAsiaTheme="minorEastAsia" w:cstheme="minorEastAsia"/>
          <w:bCs/>
          <w:color w:val="auto"/>
        </w:rPr>
        <w:t>的保证金(数额采用四舍五入，计算至元)</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Cs/>
          <w:color w:val="auto"/>
        </w:rPr>
        <w:t>保证金有效期应当与</w:t>
      </w:r>
      <w:r>
        <w:rPr>
          <w:rFonts w:hint="eastAsia" w:asciiTheme="minorEastAsia" w:hAnsiTheme="minorEastAsia" w:eastAsiaTheme="minorEastAsia" w:cstheme="minorEastAsia"/>
          <w:color w:val="auto"/>
        </w:rPr>
        <w:t>本章第16.1</w:t>
      </w:r>
      <w:r>
        <w:rPr>
          <w:rFonts w:hint="eastAsia" w:asciiTheme="minorEastAsia" w:hAnsiTheme="minorEastAsia" w:eastAsiaTheme="minorEastAsia" w:cstheme="minorEastAsia"/>
          <w:color w:val="auto"/>
          <w:lang w:val="zh-CN"/>
        </w:rPr>
        <w:t>款</w:t>
      </w:r>
      <w:r>
        <w:rPr>
          <w:rFonts w:hint="eastAsia" w:asciiTheme="minorEastAsia" w:hAnsiTheme="minorEastAsia" w:eastAsiaTheme="minorEastAsia" w:cstheme="minorEastAsia"/>
          <w:color w:val="auto"/>
        </w:rPr>
        <w:t>规定的</w:t>
      </w:r>
      <w:r>
        <w:rPr>
          <w:rFonts w:hint="eastAsia" w:asciiTheme="minorEastAsia" w:hAnsiTheme="minorEastAsia" w:eastAsiaTheme="minorEastAsia" w:cstheme="minorEastAsia"/>
          <w:bCs/>
          <w:color w:val="auto"/>
        </w:rPr>
        <w:t>响应文件有效期一致。</w:t>
      </w:r>
    </w:p>
    <w:p>
      <w:pPr>
        <w:adjustRightInd w:val="0"/>
        <w:snapToGrid w:val="0"/>
        <w:spacing w:line="420" w:lineRule="exact"/>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15.2</w:t>
      </w:r>
      <w:r>
        <w:rPr>
          <w:rFonts w:hint="eastAsia" w:asciiTheme="minorEastAsia" w:hAnsiTheme="minorEastAsia" w:eastAsiaTheme="minorEastAsia" w:cstheme="minorEastAsia"/>
          <w:color w:val="auto"/>
          <w:kern w:val="0"/>
          <w:szCs w:val="21"/>
          <w:lang w:val="zh-CN"/>
        </w:rPr>
        <w:t>供应商为联合体的，可以由联合体中的一方或者共同交纳保证金，其交纳的保证金，对联合体各方均具有约束力。</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15.3 未按磋商文件规定提交保证金的，</w:t>
      </w:r>
      <w:r>
        <w:rPr>
          <w:rFonts w:hint="eastAsia" w:asciiTheme="minorEastAsia" w:hAnsiTheme="minorEastAsia" w:eastAsiaTheme="minorEastAsia" w:cstheme="minorEastAsia"/>
          <w:bCs/>
          <w:color w:val="auto"/>
        </w:rPr>
        <w:t>采购人或采购代理机构应当拒绝接收供应商的响应文件</w:t>
      </w:r>
      <w:r>
        <w:rPr>
          <w:rFonts w:hint="eastAsia" w:asciiTheme="minorEastAsia" w:hAnsiTheme="minorEastAsia" w:eastAsiaTheme="minorEastAsia" w:cstheme="minorEastAsia"/>
          <w:color w:val="auto"/>
        </w:rPr>
        <w:t>。</w:t>
      </w:r>
    </w:p>
    <w:p>
      <w:pPr>
        <w:pStyle w:val="29"/>
        <w:tabs>
          <w:tab w:val="left" w:pos="6300"/>
        </w:tabs>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15.4采购代理机构在成交通知书发出后5个工作日内退还未成交供应商的保证金；在采购合同签定后5个工作日内退还成交供应商的保证金，但因供应商自身原因导致无法及时退还的除外。</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15.5 有下列情形之一的，保证金不予退还，并上缴本级财政国库：</w:t>
      </w:r>
    </w:p>
    <w:p>
      <w:pPr>
        <w:widowControl/>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（1）供应商在</w:t>
      </w:r>
      <w:r>
        <w:rPr>
          <w:rFonts w:hint="eastAsia" w:asciiTheme="minorEastAsia" w:hAnsiTheme="minorEastAsia" w:eastAsiaTheme="minorEastAsia" w:cstheme="minorEastAsia"/>
          <w:bCs/>
          <w:color w:val="auto"/>
          <w:szCs w:val="21"/>
        </w:rPr>
        <w:t>本章第11.1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bCs/>
          <w:color w:val="auto"/>
          <w:szCs w:val="21"/>
        </w:rPr>
        <w:t>规定的</w:t>
      </w:r>
      <w:r>
        <w:rPr>
          <w:rFonts w:hint="eastAsia" w:asciiTheme="minorEastAsia" w:hAnsiTheme="minorEastAsia" w:eastAsiaTheme="minorEastAsia" w:cstheme="minorEastAsia"/>
          <w:color w:val="auto"/>
          <w:kern w:val="0"/>
          <w:szCs w:val="21"/>
        </w:rPr>
        <w:t>提交首次响应文件截止时间后撤回响应文件的；</w:t>
      </w:r>
    </w:p>
    <w:p>
      <w:pPr>
        <w:widowControl/>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（2）供应商在响应文件中提供虚假材料的；</w:t>
      </w:r>
    </w:p>
    <w:p>
      <w:pPr>
        <w:widowControl/>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（3）除因不可抗力或磋商文件认可的情形以外，成交供应商不与采购人签订合同的；</w:t>
      </w:r>
    </w:p>
    <w:p>
      <w:pPr>
        <w:widowControl/>
        <w:adjustRightInd w:val="0"/>
        <w:snapToGrid w:val="0"/>
        <w:spacing w:line="44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（4）供应商与采购人、其他供应商或者采购代理机构恶意串通的；</w:t>
      </w:r>
    </w:p>
    <w:p>
      <w:pPr>
        <w:widowControl/>
        <w:adjustRightInd w:val="0"/>
        <w:snapToGrid w:val="0"/>
        <w:spacing w:line="44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（5）磋商文件规定的其他情形。</w:t>
      </w:r>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16.</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rPr>
        <w:t>响应文件</w:t>
      </w:r>
      <w:r>
        <w:rPr>
          <w:rFonts w:hint="eastAsia" w:asciiTheme="minorEastAsia" w:hAnsiTheme="minorEastAsia" w:eastAsiaTheme="minorEastAsia" w:cstheme="minorEastAsia"/>
          <w:b/>
          <w:color w:val="auto"/>
          <w:szCs w:val="21"/>
        </w:rPr>
        <w:t>有效期</w:t>
      </w:r>
    </w:p>
    <w:p>
      <w:pPr>
        <w:adjustRightInd w:val="0"/>
        <w:snapToGrid w:val="0"/>
        <w:spacing w:line="440" w:lineRule="exact"/>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16.1响应文件</w:t>
      </w:r>
      <w:r>
        <w:rPr>
          <w:rFonts w:hint="eastAsia" w:asciiTheme="minorEastAsia" w:hAnsiTheme="minorEastAsia" w:eastAsiaTheme="minorEastAsia" w:cstheme="minorEastAsia"/>
          <w:color w:val="auto"/>
          <w:szCs w:val="21"/>
        </w:rPr>
        <w:t>有效期见</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szCs w:val="21"/>
        </w:rPr>
        <w:t>，在此期间</w:t>
      </w:r>
      <w:r>
        <w:rPr>
          <w:rFonts w:hint="eastAsia" w:asciiTheme="minorEastAsia" w:hAnsiTheme="minorEastAsia" w:eastAsiaTheme="minorEastAsia" w:cstheme="minorEastAsia"/>
          <w:color w:val="auto"/>
        </w:rPr>
        <w:t>响应</w:t>
      </w:r>
      <w:r>
        <w:rPr>
          <w:rFonts w:hint="eastAsia" w:asciiTheme="minorEastAsia" w:hAnsiTheme="minorEastAsia" w:eastAsiaTheme="minorEastAsia" w:cstheme="minorEastAsia"/>
          <w:color w:val="auto"/>
          <w:szCs w:val="21"/>
        </w:rPr>
        <w:t>文件对供应商具有法律约束力，</w:t>
      </w:r>
      <w:r>
        <w:rPr>
          <w:rFonts w:hint="eastAsia" w:asciiTheme="minorEastAsia" w:hAnsiTheme="minorEastAsia" w:eastAsiaTheme="minorEastAsia" w:cstheme="minorEastAsia"/>
          <w:color w:val="auto"/>
        </w:rPr>
        <w:t>从本章第9.1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规定的</w:t>
      </w:r>
      <w:r>
        <w:rPr>
          <w:rFonts w:hint="eastAsia" w:asciiTheme="minorEastAsia" w:hAnsiTheme="minorEastAsia" w:eastAsiaTheme="minorEastAsia" w:cstheme="minorEastAsia"/>
          <w:color w:val="auto"/>
          <w:kern w:val="0"/>
          <w:szCs w:val="21"/>
        </w:rPr>
        <w:t>提交首次响应文件截止时间</w:t>
      </w:r>
      <w:r>
        <w:rPr>
          <w:rFonts w:hint="eastAsia" w:asciiTheme="minorEastAsia" w:hAnsiTheme="minorEastAsia" w:eastAsiaTheme="minorEastAsia" w:cstheme="minorEastAsia"/>
          <w:color w:val="auto"/>
        </w:rPr>
        <w:t>之日起计算。响应文件有效期不足的将被视为无效响应。</w:t>
      </w:r>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17.响应文件的签署及规定</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17.1响应文件的正本和副本应装订成册，正本一份，副本份数见</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。正本和副本的封面上应标记“正本”或“副本”的字样，当正本和副本有差异时，以正本为准。</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rPr>
        <w:t>17.2</w:t>
      </w:r>
      <w:r>
        <w:rPr>
          <w:rFonts w:hint="eastAsia" w:asciiTheme="minorEastAsia" w:hAnsiTheme="minorEastAsia" w:eastAsiaTheme="minorEastAsia" w:cstheme="minorEastAsia"/>
          <w:color w:val="auto"/>
          <w:spacing w:val="-2"/>
        </w:rPr>
        <w:t xml:space="preserve"> 响应文件正本和副本应按磋商文件要求签章处盖单位章和由法定代表人或其委托代理人签字；任何加行、涂改、增删，应有法定代表人或其委托代理人在旁边签字。否则，将导致响应文件无效。</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17.3 在磋商过程中，供应商按磋商文件规定和磋商小组要求提交的最后报价(或者</w:t>
      </w:r>
      <w:r>
        <w:rPr>
          <w:rFonts w:hint="eastAsia" w:asciiTheme="minorEastAsia" w:hAnsiTheme="minorEastAsia" w:eastAsiaTheme="minorEastAsia" w:cstheme="minorEastAsia"/>
          <w:bCs/>
          <w:color w:val="auto"/>
        </w:rPr>
        <w:t>重</w:t>
      </w:r>
      <w:r>
        <w:rPr>
          <w:rFonts w:hint="eastAsia" w:asciiTheme="minorEastAsia" w:hAnsiTheme="minorEastAsia" w:eastAsiaTheme="minorEastAsia" w:cstheme="minorEastAsia"/>
          <w:color w:val="auto"/>
        </w:rPr>
        <w:t>新提交的响应文件和最后报价)，一式两份，可打印或用不退色墨水书写，但需经法定代表人或其委托代理人签字，或者加盖供应商单位章。否则，将导致响应文件无效。</w:t>
      </w:r>
    </w:p>
    <w:p>
      <w:pPr>
        <w:adjustRightInd w:val="0"/>
        <w:snapToGrid w:val="0"/>
        <w:spacing w:line="440" w:lineRule="exact"/>
        <w:outlineLvl w:val="1"/>
        <w:rPr>
          <w:rFonts w:hint="eastAsia" w:asciiTheme="minorEastAsia" w:hAnsiTheme="minorEastAsia" w:eastAsiaTheme="minorEastAsia" w:cstheme="minorEastAsia"/>
          <w:b/>
          <w:color w:val="auto"/>
          <w:sz w:val="24"/>
        </w:rPr>
      </w:pPr>
      <w:bookmarkStart w:id="9" w:name="_Toc20739"/>
      <w:r>
        <w:rPr>
          <w:rFonts w:hint="eastAsia" w:asciiTheme="minorEastAsia" w:hAnsiTheme="minorEastAsia" w:eastAsiaTheme="minorEastAsia" w:cstheme="minorEastAsia"/>
          <w:b/>
          <w:color w:val="auto"/>
          <w:sz w:val="24"/>
        </w:rPr>
        <w:t>四、响应文件的递交</w:t>
      </w:r>
      <w:bookmarkEnd w:id="9"/>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18.</w:t>
      </w:r>
      <w:r>
        <w:rPr>
          <w:rFonts w:hint="eastAsia" w:asciiTheme="minorEastAsia" w:hAnsiTheme="minorEastAsia" w:eastAsiaTheme="minorEastAsia" w:cstheme="minorEastAsia"/>
          <w:b/>
          <w:color w:val="auto"/>
          <w:szCs w:val="21"/>
        </w:rPr>
        <w:t>响应文件</w:t>
      </w:r>
      <w:r>
        <w:rPr>
          <w:rFonts w:hint="eastAsia" w:asciiTheme="minorEastAsia" w:hAnsiTheme="minorEastAsia" w:eastAsiaTheme="minorEastAsia" w:cstheme="minorEastAsia"/>
          <w:b/>
          <w:bCs/>
          <w:color w:val="auto"/>
          <w:szCs w:val="21"/>
        </w:rPr>
        <w:t>的密封和标记</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18.1响应文件应密封包装，加贴封条，并在封套的封口处（封套两端折叠封口处）盖供应商单位章或者由法定代表人或其委托代理人签字。</w:t>
      </w:r>
    </w:p>
    <w:p>
      <w:pPr>
        <w:adjustRightInd w:val="0"/>
        <w:snapToGrid w:val="0"/>
        <w:spacing w:line="440" w:lineRule="exact"/>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18.2响应文件封套上应写明的内容见</w:t>
      </w:r>
      <w:r>
        <w:rPr>
          <w:rFonts w:hint="eastAsia" w:asciiTheme="minorEastAsia" w:hAnsiTheme="minorEastAsia" w:eastAsiaTheme="minorEastAsia" w:cstheme="minorEastAsia"/>
          <w:b/>
          <w:color w:val="auto"/>
          <w:szCs w:val="21"/>
        </w:rPr>
        <w:t>磋商须知前附表。</w:t>
      </w:r>
    </w:p>
    <w:p>
      <w:pPr>
        <w:adjustRightInd w:val="0"/>
        <w:snapToGrid w:val="0"/>
        <w:spacing w:line="440" w:lineRule="exact"/>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18.3响应文件如果未按上述规定密封和加写标记，采购人或采购代理机构将拒绝接收。</w:t>
      </w:r>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19.响应文件的</w:t>
      </w:r>
      <w:r>
        <w:rPr>
          <w:rFonts w:hint="eastAsia" w:asciiTheme="minorEastAsia" w:hAnsiTheme="minorEastAsia" w:eastAsiaTheme="minorEastAsia" w:cstheme="minorEastAsia"/>
          <w:b/>
          <w:color w:val="auto"/>
          <w:kern w:val="0"/>
          <w:szCs w:val="21"/>
          <w:lang w:val="zh-CN"/>
        </w:rPr>
        <w:t>补充、修改或者撤回</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19.1供应商在本章第11.1</w:t>
      </w:r>
      <w:r>
        <w:rPr>
          <w:rFonts w:hint="eastAsia" w:asciiTheme="minorEastAsia" w:hAnsiTheme="minorEastAsia" w:eastAsiaTheme="minorEastAsia" w:cstheme="minorEastAsia"/>
          <w:color w:val="auto"/>
          <w:lang w:val="zh-CN"/>
        </w:rPr>
        <w:t>款</w:t>
      </w:r>
      <w:r>
        <w:rPr>
          <w:rFonts w:hint="eastAsia" w:asciiTheme="minorEastAsia" w:hAnsiTheme="minorEastAsia" w:eastAsiaTheme="minorEastAsia" w:cstheme="minorEastAsia"/>
          <w:color w:val="auto"/>
        </w:rPr>
        <w:t>规定的提交首次响应文件截止时间前，可以对所提交的首次响应文件进行补充、修改或者撤回，并书面通知采购人、采购代理机构。该通知应有供应商法定代表人或其委托代理人签字。</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19.2</w:t>
      </w:r>
      <w:r>
        <w:rPr>
          <w:rFonts w:hint="eastAsia" w:asciiTheme="minorEastAsia" w:hAnsiTheme="minorEastAsia" w:eastAsiaTheme="minorEastAsia" w:cstheme="minorEastAsia"/>
          <w:color w:val="auto"/>
          <w:lang w:val="zh-CN"/>
        </w:rPr>
        <w:t>补充、修改的内容与响应文件不一致时，以补充、修改的内容为准。</w:t>
      </w:r>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20.响应文件的递交与接收</w:t>
      </w:r>
    </w:p>
    <w:p>
      <w:pPr>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20.1 供应商应在</w:t>
      </w:r>
      <w:r>
        <w:rPr>
          <w:rFonts w:hint="eastAsia" w:asciiTheme="minorEastAsia" w:hAnsiTheme="minorEastAsia" w:eastAsiaTheme="minorEastAsia" w:cstheme="minorEastAsia"/>
          <w:color w:val="auto"/>
        </w:rPr>
        <w:t>本章第9.1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规定的</w:t>
      </w:r>
      <w:r>
        <w:rPr>
          <w:rFonts w:hint="eastAsia" w:asciiTheme="minorEastAsia" w:hAnsiTheme="minorEastAsia" w:eastAsiaTheme="minorEastAsia" w:cstheme="minorEastAsia"/>
          <w:color w:val="auto"/>
          <w:kern w:val="0"/>
          <w:szCs w:val="21"/>
        </w:rPr>
        <w:t>提交首次响应文件截止时间</w:t>
      </w:r>
      <w:r>
        <w:rPr>
          <w:rFonts w:hint="eastAsia" w:asciiTheme="minorEastAsia" w:hAnsiTheme="minorEastAsia" w:eastAsiaTheme="minorEastAsia" w:cstheme="minorEastAsia"/>
          <w:color w:val="auto"/>
          <w:szCs w:val="21"/>
        </w:rPr>
        <w:t>前，将响应文件送达</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中指定的地点。</w:t>
      </w:r>
      <w:r>
        <w:rPr>
          <w:rFonts w:hint="eastAsia" w:asciiTheme="minorEastAsia" w:hAnsiTheme="minorEastAsia" w:eastAsiaTheme="minorEastAsia" w:cstheme="minorEastAsia"/>
          <w:color w:val="auto"/>
          <w:kern w:val="0"/>
        </w:rPr>
        <w:t>在截止时间后送达的响应文件，采购人、采购代理机构或者磋商小组应当拒收。</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20.2在本章第9.1</w:t>
      </w:r>
      <w:r>
        <w:rPr>
          <w:rFonts w:hint="eastAsia" w:asciiTheme="minorEastAsia" w:hAnsiTheme="minorEastAsia" w:eastAsiaTheme="minorEastAsia" w:cstheme="minorEastAsia"/>
          <w:color w:val="auto"/>
          <w:lang w:val="zh-CN"/>
        </w:rPr>
        <w:t>款</w:t>
      </w:r>
      <w:r>
        <w:rPr>
          <w:rFonts w:hint="eastAsia" w:asciiTheme="minorEastAsia" w:hAnsiTheme="minorEastAsia" w:eastAsiaTheme="minorEastAsia" w:cstheme="minorEastAsia"/>
          <w:color w:val="auto"/>
        </w:rPr>
        <w:t>规定的提交首次响应文件截止时间后，由</w:t>
      </w:r>
      <w:r>
        <w:rPr>
          <w:rFonts w:hint="eastAsia" w:asciiTheme="minorEastAsia" w:hAnsiTheme="minorEastAsia" w:eastAsiaTheme="minorEastAsia" w:cstheme="minorEastAsia"/>
          <w:bCs/>
          <w:color w:val="auto"/>
        </w:rPr>
        <w:t>供应商代表</w:t>
      </w:r>
      <w:r>
        <w:rPr>
          <w:rFonts w:hint="eastAsia" w:asciiTheme="minorEastAsia" w:hAnsiTheme="minorEastAsia" w:eastAsiaTheme="minorEastAsia" w:cstheme="minorEastAsia"/>
          <w:color w:val="auto"/>
        </w:rPr>
        <w:t>当场查验</w:t>
      </w:r>
      <w:r>
        <w:rPr>
          <w:rFonts w:hint="eastAsia" w:asciiTheme="minorEastAsia" w:hAnsiTheme="minorEastAsia" w:eastAsiaTheme="minorEastAsia" w:cstheme="minorEastAsia"/>
          <w:bCs/>
          <w:color w:val="auto"/>
        </w:rPr>
        <w:t>响应文件</w:t>
      </w:r>
      <w:r>
        <w:rPr>
          <w:rFonts w:hint="eastAsia" w:asciiTheme="minorEastAsia" w:hAnsiTheme="minorEastAsia" w:eastAsiaTheme="minorEastAsia" w:cstheme="minorEastAsia"/>
          <w:color w:val="auto"/>
        </w:rPr>
        <w:t>的密封状况，采购人或</w:t>
      </w:r>
      <w:r>
        <w:rPr>
          <w:rFonts w:hint="eastAsia" w:asciiTheme="minorEastAsia" w:hAnsiTheme="minorEastAsia" w:eastAsiaTheme="minorEastAsia" w:cstheme="minorEastAsia"/>
          <w:bCs/>
          <w:color w:val="auto"/>
        </w:rPr>
        <w:t>采购代理机构</w:t>
      </w:r>
      <w:r>
        <w:rPr>
          <w:rFonts w:hint="eastAsia" w:asciiTheme="minorEastAsia" w:hAnsiTheme="minorEastAsia" w:eastAsiaTheme="minorEastAsia" w:cstheme="minorEastAsia"/>
          <w:color w:val="auto"/>
        </w:rPr>
        <w:t>不当场拆封</w:t>
      </w:r>
      <w:r>
        <w:rPr>
          <w:rFonts w:hint="eastAsia" w:asciiTheme="minorEastAsia" w:hAnsiTheme="minorEastAsia" w:eastAsiaTheme="minorEastAsia" w:cstheme="minorEastAsia"/>
          <w:bCs/>
          <w:color w:val="auto"/>
        </w:rPr>
        <w:t>响应文件</w:t>
      </w:r>
      <w:r>
        <w:rPr>
          <w:rFonts w:hint="eastAsia" w:asciiTheme="minorEastAsia" w:hAnsiTheme="minorEastAsia" w:eastAsiaTheme="minorEastAsia" w:cstheme="minorEastAsia"/>
          <w:color w:val="auto"/>
        </w:rPr>
        <w:t>。</w:t>
      </w:r>
    </w:p>
    <w:p>
      <w:pPr>
        <w:adjustRightInd w:val="0"/>
        <w:snapToGrid w:val="0"/>
        <w:spacing w:line="420" w:lineRule="exact"/>
        <w:ind w:left="723" w:hanging="723" w:hangingChars="300"/>
        <w:outlineLvl w:val="1"/>
        <w:rPr>
          <w:rFonts w:hint="eastAsia" w:asciiTheme="minorEastAsia" w:hAnsiTheme="minorEastAsia" w:eastAsiaTheme="minorEastAsia" w:cstheme="minorEastAsia"/>
          <w:b/>
          <w:bCs/>
          <w:color w:val="auto"/>
          <w:sz w:val="24"/>
        </w:rPr>
      </w:pPr>
      <w:bookmarkStart w:id="10" w:name="_Toc8424"/>
      <w:r>
        <w:rPr>
          <w:rFonts w:hint="eastAsia" w:asciiTheme="minorEastAsia" w:hAnsiTheme="minorEastAsia" w:eastAsiaTheme="minorEastAsia" w:cstheme="minorEastAsia"/>
          <w:b/>
          <w:bCs/>
          <w:color w:val="auto"/>
          <w:sz w:val="24"/>
        </w:rPr>
        <w:t>五、响应文件的</w:t>
      </w:r>
      <w:r>
        <w:rPr>
          <w:rFonts w:hint="eastAsia" w:asciiTheme="minorEastAsia" w:hAnsiTheme="minorEastAsia" w:eastAsiaTheme="minorEastAsia" w:cstheme="minorEastAsia"/>
          <w:b/>
          <w:color w:val="auto"/>
          <w:sz w:val="24"/>
        </w:rPr>
        <w:t>评审与磋商</w:t>
      </w:r>
      <w:bookmarkEnd w:id="10"/>
    </w:p>
    <w:p>
      <w:pPr>
        <w:tabs>
          <w:tab w:val="left" w:pos="0"/>
        </w:tabs>
        <w:adjustRightInd w:val="0"/>
        <w:snapToGrid w:val="0"/>
        <w:spacing w:line="42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21.供应商资格审查</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21.1供应商有本章</w:t>
      </w:r>
      <w:r>
        <w:rPr>
          <w:rFonts w:hint="eastAsia" w:asciiTheme="minorEastAsia" w:hAnsiTheme="minorEastAsia" w:eastAsiaTheme="minorEastAsia" w:cstheme="minorEastAsia"/>
          <w:color w:val="auto"/>
        </w:rPr>
        <w:t>第16.1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情形的，</w:t>
      </w: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小组将</w:t>
      </w:r>
      <w:r>
        <w:rPr>
          <w:rFonts w:hint="eastAsia" w:asciiTheme="minorEastAsia" w:hAnsiTheme="minorEastAsia" w:eastAsiaTheme="minorEastAsia" w:cstheme="minorEastAsia"/>
          <w:color w:val="auto"/>
          <w:szCs w:val="21"/>
        </w:rPr>
        <w:t>根据本章第3.1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规定的供应商资格条件要求，对更新或补充提供的资格证明材料进行审查。不满足资格条件的，视为无效响应。</w:t>
      </w:r>
    </w:p>
    <w:p>
      <w:pPr>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szCs w:val="21"/>
        </w:rPr>
        <w:t>21.2供应商</w:t>
      </w:r>
      <w:r>
        <w:rPr>
          <w:rFonts w:hint="eastAsia" w:asciiTheme="minorEastAsia" w:hAnsiTheme="minorEastAsia" w:eastAsiaTheme="minorEastAsia" w:cstheme="minorEastAsia"/>
          <w:color w:val="auto"/>
          <w:kern w:val="0"/>
          <w:szCs w:val="21"/>
          <w:lang w:val="zh-CN"/>
        </w:rPr>
        <w:t>为联合体的，</w:t>
      </w: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小组将</w:t>
      </w:r>
      <w:r>
        <w:rPr>
          <w:rFonts w:hint="eastAsia" w:asciiTheme="minorEastAsia" w:hAnsiTheme="minorEastAsia" w:eastAsiaTheme="minorEastAsia" w:cstheme="minorEastAsia"/>
          <w:color w:val="auto"/>
          <w:szCs w:val="21"/>
        </w:rPr>
        <w:t>根据本章第6.2</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的规定对</w:t>
      </w:r>
      <w:r>
        <w:rPr>
          <w:rFonts w:hint="eastAsia" w:asciiTheme="minorEastAsia" w:hAnsiTheme="minorEastAsia" w:eastAsiaTheme="minorEastAsia" w:cstheme="minorEastAsia"/>
          <w:color w:val="auto"/>
        </w:rPr>
        <w:t>联合体各方资格文件、联合体协议</w:t>
      </w:r>
      <w:r>
        <w:rPr>
          <w:rFonts w:hint="eastAsia" w:asciiTheme="minorEastAsia" w:hAnsiTheme="minorEastAsia" w:eastAsiaTheme="minorEastAsia" w:cstheme="minorEastAsia"/>
          <w:color w:val="auto"/>
          <w:szCs w:val="21"/>
        </w:rPr>
        <w:t>进行审查</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Cs w:val="21"/>
        </w:rPr>
        <w:t>不满足资格条件的，视为无效响应。</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21.3除本章</w:t>
      </w:r>
      <w:r>
        <w:rPr>
          <w:rFonts w:hint="eastAsia" w:asciiTheme="minorEastAsia" w:hAnsiTheme="minorEastAsia" w:eastAsiaTheme="minorEastAsia" w:cstheme="minorEastAsia"/>
          <w:color w:val="auto"/>
        </w:rPr>
        <w:t>第14.1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第14.2</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情形外，磋商小组不再对供应商进行资格审查。</w:t>
      </w:r>
    </w:p>
    <w:p>
      <w:pPr>
        <w:tabs>
          <w:tab w:val="left" w:pos="0"/>
        </w:tabs>
        <w:adjustRightInd w:val="0"/>
        <w:snapToGrid w:val="0"/>
        <w:spacing w:line="42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22.磋商程序</w:t>
      </w:r>
    </w:p>
    <w:p>
      <w:pPr>
        <w:widowControl/>
        <w:adjustRightInd w:val="0"/>
        <w:snapToGrid w:val="0"/>
        <w:spacing w:line="420" w:lineRule="exact"/>
        <w:ind w:firstLine="42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22.1磋商程序：初步审查、磋商（包括澄清、符合性评审查）、</w:t>
      </w:r>
      <w:r>
        <w:rPr>
          <w:rFonts w:hint="eastAsia" w:asciiTheme="minorEastAsia" w:hAnsiTheme="minorEastAsia" w:eastAsiaTheme="minorEastAsia" w:cstheme="minorEastAsia"/>
          <w:bCs/>
          <w:color w:val="auto"/>
          <w:szCs w:val="21"/>
        </w:rPr>
        <w:t>提出成交供应商。其中，</w:t>
      </w:r>
      <w:r>
        <w:rPr>
          <w:rFonts w:hint="eastAsia" w:asciiTheme="minorEastAsia" w:hAnsiTheme="minorEastAsia" w:eastAsiaTheme="minorEastAsia" w:cstheme="minorEastAsia"/>
          <w:color w:val="auto"/>
          <w:kern w:val="0"/>
          <w:szCs w:val="21"/>
        </w:rPr>
        <w:t>磋商按</w:t>
      </w:r>
      <w:r>
        <w:rPr>
          <w:rFonts w:hint="eastAsia" w:asciiTheme="minorEastAsia" w:hAnsiTheme="minorEastAsia" w:eastAsiaTheme="minorEastAsia" w:cstheme="minorEastAsia"/>
          <w:color w:val="auto"/>
          <w:szCs w:val="21"/>
        </w:rPr>
        <w:t>本章</w:t>
      </w:r>
      <w:r>
        <w:rPr>
          <w:rFonts w:hint="eastAsia" w:asciiTheme="minorEastAsia" w:hAnsiTheme="minorEastAsia" w:eastAsiaTheme="minorEastAsia" w:cstheme="minorEastAsia"/>
          <w:color w:val="auto"/>
        </w:rPr>
        <w:t>第27.1</w:t>
      </w:r>
      <w:r>
        <w:rPr>
          <w:rFonts w:hint="eastAsia" w:asciiTheme="minorEastAsia" w:hAnsiTheme="minorEastAsia" w:eastAsiaTheme="minorEastAsia" w:cstheme="minorEastAsia"/>
          <w:color w:val="auto"/>
          <w:kern w:val="0"/>
          <w:szCs w:val="21"/>
          <w:lang w:val="zh-CN"/>
        </w:rPr>
        <w:t>款或者</w:t>
      </w:r>
      <w:r>
        <w:rPr>
          <w:rFonts w:hint="eastAsia" w:asciiTheme="minorEastAsia" w:hAnsiTheme="minorEastAsia" w:eastAsiaTheme="minorEastAsia" w:cstheme="minorEastAsia"/>
          <w:color w:val="auto"/>
        </w:rPr>
        <w:t>第27.2</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情形</w:t>
      </w:r>
      <w:r>
        <w:rPr>
          <w:rFonts w:hint="eastAsia" w:asciiTheme="minorEastAsia" w:hAnsiTheme="minorEastAsia" w:eastAsiaTheme="minorEastAsia" w:cstheme="minorEastAsia"/>
          <w:bCs/>
          <w:color w:val="auto"/>
          <w:szCs w:val="21"/>
        </w:rPr>
        <w:t>进行。</w:t>
      </w:r>
    </w:p>
    <w:p>
      <w:pPr>
        <w:widowControl/>
        <w:adjustRightInd w:val="0"/>
        <w:snapToGrid w:val="0"/>
        <w:spacing w:line="420" w:lineRule="exac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23.初步审查</w:t>
      </w:r>
    </w:p>
    <w:p>
      <w:pPr>
        <w:widowControl/>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23.1磋商小组应当对供应商</w:t>
      </w:r>
      <w:r>
        <w:rPr>
          <w:rFonts w:hint="eastAsia" w:asciiTheme="minorEastAsia" w:hAnsiTheme="minorEastAsia" w:eastAsiaTheme="minorEastAsia" w:cstheme="minorEastAsia"/>
          <w:color w:val="auto"/>
          <w:kern w:val="0"/>
        </w:rPr>
        <w:t>提交的首次</w:t>
      </w:r>
      <w:r>
        <w:rPr>
          <w:rFonts w:hint="eastAsia" w:asciiTheme="minorEastAsia" w:hAnsiTheme="minorEastAsia" w:eastAsiaTheme="minorEastAsia" w:cstheme="minorEastAsia"/>
          <w:color w:val="auto"/>
          <w:kern w:val="0"/>
          <w:szCs w:val="21"/>
        </w:rPr>
        <w:t>响应文件进行初步审查。</w:t>
      </w:r>
      <w:r>
        <w:rPr>
          <w:rFonts w:hint="eastAsia" w:asciiTheme="minorEastAsia" w:hAnsiTheme="minorEastAsia" w:eastAsiaTheme="minorEastAsia" w:cstheme="minorEastAsia"/>
          <w:bCs/>
          <w:color w:val="auto"/>
          <w:szCs w:val="21"/>
        </w:rPr>
        <w:t>响应文件有下列情况之一，</w:t>
      </w:r>
      <w:r>
        <w:rPr>
          <w:rFonts w:hint="eastAsia" w:asciiTheme="minorEastAsia" w:hAnsiTheme="minorEastAsia" w:eastAsiaTheme="minorEastAsia" w:cstheme="minorEastAsia"/>
          <w:color w:val="auto"/>
          <w:kern w:val="0"/>
          <w:szCs w:val="21"/>
          <w:lang w:val="zh-CN"/>
        </w:rPr>
        <w:t>其响应文件无效，</w:t>
      </w:r>
      <w:r>
        <w:rPr>
          <w:rFonts w:hint="eastAsia" w:asciiTheme="minorEastAsia" w:hAnsiTheme="minorEastAsia" w:eastAsiaTheme="minorEastAsia" w:cstheme="minorEastAsia"/>
          <w:color w:val="auto"/>
          <w:kern w:val="0"/>
          <w:szCs w:val="21"/>
        </w:rPr>
        <w:t>磋商小组应当告知有关供应商。</w:t>
      </w:r>
    </w:p>
    <w:p>
      <w:pPr>
        <w:adjustRightInd w:val="0"/>
        <w:snapToGrid w:val="0"/>
        <w:spacing w:line="420" w:lineRule="exact"/>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szCs w:val="21"/>
        </w:rPr>
        <w:t>应交未交保证金或金额不足、保函有效期不足、保证金形式或保函出证机构不符合磋商文件要求的；</w:t>
      </w:r>
    </w:p>
    <w:p>
      <w:pPr>
        <w:tabs>
          <w:tab w:val="left" w:pos="735"/>
          <w:tab w:val="left" w:pos="7560"/>
          <w:tab w:val="left" w:pos="7740"/>
          <w:tab w:val="left" w:pos="7920"/>
        </w:tabs>
        <w:adjustRightInd w:val="0"/>
        <w:snapToGrid w:val="0"/>
        <w:spacing w:line="420" w:lineRule="exact"/>
        <w:ind w:right="300" w:rightChars="143"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w:t>
      </w:r>
      <w:r>
        <w:rPr>
          <w:rFonts w:hint="eastAsia" w:asciiTheme="minorEastAsia" w:hAnsiTheme="minorEastAsia" w:eastAsiaTheme="minorEastAsia" w:cstheme="minorEastAsia"/>
          <w:color w:val="auto"/>
          <w:szCs w:val="21"/>
        </w:rPr>
        <w:t>未按照磋商文件规定要求签署、盖章的；</w:t>
      </w:r>
    </w:p>
    <w:p>
      <w:pPr>
        <w:widowControl/>
        <w:adjustRightInd w:val="0"/>
        <w:snapToGrid w:val="0"/>
        <w:spacing w:line="420" w:lineRule="exact"/>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w:t>
      </w:r>
      <w:r>
        <w:rPr>
          <w:rFonts w:hint="eastAsia" w:asciiTheme="minorEastAsia" w:hAnsiTheme="minorEastAsia" w:eastAsiaTheme="minorEastAsia" w:cstheme="minorEastAsia"/>
          <w:color w:val="auto"/>
          <w:szCs w:val="21"/>
        </w:rPr>
        <w:t>响应</w:t>
      </w:r>
      <w:r>
        <w:rPr>
          <w:rFonts w:hint="eastAsia" w:asciiTheme="minorEastAsia" w:hAnsiTheme="minorEastAsia" w:eastAsiaTheme="minorEastAsia" w:cstheme="minorEastAsia"/>
          <w:color w:val="auto"/>
          <w:kern w:val="0"/>
          <w:szCs w:val="21"/>
        </w:rPr>
        <w:t>文件有效期不足的；</w:t>
      </w:r>
    </w:p>
    <w:p>
      <w:pPr>
        <w:widowControl/>
        <w:adjustRightInd w:val="0"/>
        <w:snapToGrid w:val="0"/>
        <w:spacing w:line="420" w:lineRule="exact"/>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（4）不符合法律、规章、规范性文件和磋商文件规定的。</w:t>
      </w:r>
    </w:p>
    <w:p>
      <w:pPr>
        <w:pStyle w:val="29"/>
        <w:tabs>
          <w:tab w:val="center" w:pos="4422"/>
        </w:tabs>
        <w:adjustRightInd w:val="0"/>
        <w:snapToGrid w:val="0"/>
        <w:spacing w:beforeLines="50" w:line="420" w:lineRule="exac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24. 偏离</w:t>
      </w:r>
      <w:r>
        <w:rPr>
          <w:rFonts w:hint="eastAsia" w:asciiTheme="minorEastAsia" w:hAnsiTheme="minorEastAsia" w:eastAsiaTheme="minorEastAsia" w:cstheme="minorEastAsia"/>
          <w:b/>
          <w:color w:val="auto"/>
        </w:rPr>
        <w:tab/>
      </w:r>
    </w:p>
    <w:p>
      <w:pPr>
        <w:pStyle w:val="47"/>
        <w:adjustRightInd w:val="0"/>
        <w:snapToGrid w:val="0"/>
        <w:spacing w:before="0" w:beforeAutospacing="0" w:after="0" w:afterAutospacing="0" w:line="420" w:lineRule="exact"/>
        <w:ind w:right="97" w:rightChars="46"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24.1本条所称</w:t>
      </w:r>
      <w:r>
        <w:rPr>
          <w:rFonts w:hint="eastAsia" w:asciiTheme="minorEastAsia" w:hAnsiTheme="minorEastAsia" w:eastAsiaTheme="minorEastAsia" w:cstheme="minorEastAsia"/>
          <w:color w:val="auto"/>
          <w:sz w:val="21"/>
          <w:szCs w:val="21"/>
        </w:rPr>
        <w:t>偏离为</w:t>
      </w:r>
      <w:r>
        <w:rPr>
          <w:rFonts w:hint="eastAsia" w:asciiTheme="minorEastAsia" w:hAnsiTheme="minorEastAsia" w:eastAsiaTheme="minorEastAsia" w:cstheme="minorEastAsia"/>
          <w:bCs/>
          <w:color w:val="auto"/>
          <w:sz w:val="21"/>
          <w:szCs w:val="21"/>
        </w:rPr>
        <w:t>响应文件</w:t>
      </w:r>
      <w:r>
        <w:rPr>
          <w:rFonts w:hint="eastAsia" w:asciiTheme="minorEastAsia" w:hAnsiTheme="minorEastAsia" w:eastAsiaTheme="minorEastAsia" w:cstheme="minorEastAsia"/>
          <w:color w:val="auto"/>
          <w:sz w:val="21"/>
          <w:szCs w:val="21"/>
        </w:rPr>
        <w:t>对磋商文件的偏离，即不满足、或不响应磋商文件的要求。偏离分为对磋商文件的实质性要求条款偏离和对磋商文件的一般商务</w:t>
      </w:r>
      <w:r>
        <w:rPr>
          <w:rFonts w:hint="eastAsia" w:asciiTheme="minorEastAsia" w:hAnsiTheme="minorEastAsia" w:eastAsiaTheme="minorEastAsia" w:cstheme="minorEastAsia"/>
          <w:color w:val="auto"/>
          <w:spacing w:val="4"/>
          <w:sz w:val="21"/>
          <w:szCs w:val="21"/>
        </w:rPr>
        <w:t>和</w:t>
      </w:r>
      <w:r>
        <w:rPr>
          <w:rFonts w:hint="eastAsia" w:asciiTheme="minorEastAsia" w:hAnsiTheme="minorEastAsia" w:eastAsiaTheme="minorEastAsia" w:cstheme="minorEastAsia"/>
          <w:color w:val="auto"/>
          <w:sz w:val="21"/>
          <w:szCs w:val="21"/>
        </w:rPr>
        <w:t>技术条款（参数）偏离。</w:t>
      </w:r>
    </w:p>
    <w:p>
      <w:pPr>
        <w:tabs>
          <w:tab w:val="left" w:pos="0"/>
        </w:tabs>
        <w:adjustRightInd w:val="0"/>
        <w:snapToGrid w:val="0"/>
        <w:spacing w:beforeLines="50"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24.2</w:t>
      </w:r>
      <w:r>
        <w:rPr>
          <w:rFonts w:hint="eastAsia" w:asciiTheme="minorEastAsia" w:hAnsiTheme="minorEastAsia" w:eastAsiaTheme="minorEastAsia" w:cstheme="minorEastAsia"/>
          <w:bCs/>
          <w:color w:val="auto"/>
          <w:spacing w:val="-4"/>
          <w:szCs w:val="21"/>
        </w:rPr>
        <w:t>除法律、法规和规章规定外，</w:t>
      </w:r>
      <w:r>
        <w:rPr>
          <w:rFonts w:hint="eastAsia" w:asciiTheme="minorEastAsia" w:hAnsiTheme="minorEastAsia" w:eastAsiaTheme="minorEastAsia" w:cstheme="minorEastAsia"/>
          <w:color w:val="auto"/>
          <w:spacing w:val="-4"/>
          <w:szCs w:val="21"/>
        </w:rPr>
        <w:t>磋商文件中用“拒绝”、“不接受”、“无效”、“不得”等文字规定或标注“★”符号的条款为实质性要求条款（即重要条款），对其中任何一条的偏离，在磋商时将其视为无效响应文件。未用上述文字规定或符号标注的条款为非实质性要求条款(即一般条款)。</w:t>
      </w:r>
    </w:p>
    <w:p>
      <w:pPr>
        <w:tabs>
          <w:tab w:val="left" w:pos="0"/>
        </w:tabs>
        <w:adjustRightInd w:val="0"/>
        <w:snapToGrid w:val="0"/>
        <w:spacing w:beforeLines="50"/>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24.3 “磋商文件前附表”中和 “技术规格、参数及要求”中的一般商务</w:t>
      </w:r>
      <w:r>
        <w:rPr>
          <w:rFonts w:hint="eastAsia" w:asciiTheme="minorEastAsia" w:hAnsiTheme="minorEastAsia" w:eastAsiaTheme="minorEastAsia" w:cstheme="minorEastAsia"/>
          <w:color w:val="auto"/>
          <w:spacing w:val="4"/>
          <w:szCs w:val="21"/>
        </w:rPr>
        <w:t>和</w:t>
      </w:r>
      <w:r>
        <w:rPr>
          <w:rFonts w:hint="eastAsia" w:asciiTheme="minorEastAsia" w:hAnsiTheme="minorEastAsia" w:eastAsiaTheme="minorEastAsia" w:cstheme="minorEastAsia"/>
          <w:color w:val="auto"/>
          <w:szCs w:val="21"/>
        </w:rPr>
        <w:t>技术条款（参数），</w:t>
      </w:r>
      <w:r>
        <w:rPr>
          <w:rFonts w:hint="eastAsia" w:asciiTheme="minorEastAsia" w:hAnsiTheme="minorEastAsia" w:eastAsiaTheme="minorEastAsia" w:cstheme="minorEastAsia"/>
          <w:color w:val="auto"/>
        </w:rPr>
        <w:t>在</w:t>
      </w:r>
      <w:r>
        <w:rPr>
          <w:rFonts w:hint="eastAsia" w:asciiTheme="minorEastAsia" w:hAnsiTheme="minorEastAsia" w:eastAsiaTheme="minorEastAsia" w:cstheme="minorEastAsia"/>
          <w:color w:val="auto"/>
          <w:szCs w:val="21"/>
        </w:rPr>
        <w:t>超出允许偏离的条款数（最高项数）时，在磋商时将其视为无效响应文件。前述章节中一般商务</w:t>
      </w:r>
      <w:r>
        <w:rPr>
          <w:rFonts w:hint="eastAsia" w:asciiTheme="minorEastAsia" w:hAnsiTheme="minorEastAsia" w:eastAsiaTheme="minorEastAsia" w:cstheme="minorEastAsia"/>
          <w:color w:val="auto"/>
          <w:spacing w:val="4"/>
          <w:szCs w:val="21"/>
        </w:rPr>
        <w:t>和</w:t>
      </w:r>
      <w:r>
        <w:rPr>
          <w:rFonts w:hint="eastAsia" w:asciiTheme="minorEastAsia" w:hAnsiTheme="minorEastAsia" w:eastAsiaTheme="minorEastAsia" w:cstheme="minorEastAsia"/>
          <w:color w:val="auto"/>
          <w:szCs w:val="21"/>
        </w:rPr>
        <w:t>技术条款允许偏离的最高项数见</w:t>
      </w:r>
      <w:r>
        <w:rPr>
          <w:rFonts w:hint="eastAsia" w:asciiTheme="minorEastAsia" w:hAnsiTheme="minorEastAsia" w:eastAsiaTheme="minorEastAsia" w:cstheme="minorEastAsia"/>
          <w:b/>
          <w:color w:val="auto"/>
          <w:szCs w:val="21"/>
        </w:rPr>
        <w:t>磋商文件前附表。</w:t>
      </w:r>
    </w:p>
    <w:p>
      <w:pPr>
        <w:pStyle w:val="29"/>
        <w:adjustRightInd w:val="0"/>
        <w:snapToGrid w:val="0"/>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24.4本章第24.3</w:t>
      </w:r>
      <w:r>
        <w:rPr>
          <w:rFonts w:hint="eastAsia" w:asciiTheme="minorEastAsia" w:hAnsiTheme="minorEastAsia" w:eastAsiaTheme="minorEastAsia" w:cstheme="minorEastAsia"/>
          <w:color w:val="auto"/>
          <w:lang w:val="zh-CN"/>
        </w:rPr>
        <w:t>款</w:t>
      </w:r>
      <w:r>
        <w:rPr>
          <w:rFonts w:hint="eastAsia" w:asciiTheme="minorEastAsia" w:hAnsiTheme="minorEastAsia" w:eastAsiaTheme="minorEastAsia" w:cstheme="minorEastAsia"/>
          <w:color w:val="auto"/>
        </w:rPr>
        <w:t>所称条款数（最高项数）的统计方法见</w:t>
      </w:r>
      <w:r>
        <w:rPr>
          <w:rFonts w:hint="eastAsia" w:asciiTheme="minorEastAsia" w:hAnsiTheme="minorEastAsia" w:eastAsiaTheme="minorEastAsia" w:cstheme="minorEastAsia"/>
          <w:b/>
          <w:color w:val="auto"/>
        </w:rPr>
        <w:t>磋商文件前附表。</w:t>
      </w:r>
    </w:p>
    <w:p>
      <w:pPr>
        <w:widowControl/>
        <w:adjustRightInd w:val="0"/>
        <w:snapToGrid w:val="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25.澄清</w:t>
      </w:r>
    </w:p>
    <w:p>
      <w:pPr>
        <w:widowControl/>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25.1 磋商小组在对响应文件(包括</w:t>
      </w:r>
      <w:r>
        <w:rPr>
          <w:rFonts w:hint="eastAsia" w:asciiTheme="minorEastAsia" w:hAnsiTheme="minorEastAsia" w:eastAsiaTheme="minorEastAsia" w:cstheme="minorEastAsia"/>
          <w:color w:val="auto"/>
          <w:kern w:val="0"/>
        </w:rPr>
        <w:t>首次</w:t>
      </w:r>
      <w:r>
        <w:rPr>
          <w:rFonts w:hint="eastAsia" w:asciiTheme="minorEastAsia" w:hAnsiTheme="minorEastAsia" w:eastAsiaTheme="minorEastAsia" w:cstheme="minorEastAsia"/>
          <w:color w:val="auto"/>
          <w:kern w:val="0"/>
          <w:szCs w:val="21"/>
        </w:rPr>
        <w:t>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磋商文件的范围或者改变响应文件的实质性内容。</w:t>
      </w:r>
    </w:p>
    <w:p>
      <w:pPr>
        <w:widowControl/>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25.2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26.符合性审查</w:t>
      </w:r>
    </w:p>
    <w:p>
      <w:pPr>
        <w:widowControl/>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26.1对响应文件(包括</w:t>
      </w:r>
      <w:r>
        <w:rPr>
          <w:rFonts w:hint="eastAsia" w:asciiTheme="minorEastAsia" w:hAnsiTheme="minorEastAsia" w:eastAsiaTheme="minorEastAsia" w:cstheme="minorEastAsia"/>
          <w:color w:val="auto"/>
          <w:kern w:val="0"/>
        </w:rPr>
        <w:t>首次</w:t>
      </w:r>
      <w:r>
        <w:rPr>
          <w:rFonts w:hint="eastAsia" w:asciiTheme="minorEastAsia" w:hAnsiTheme="minorEastAsia" w:eastAsiaTheme="minorEastAsia" w:cstheme="minorEastAsia"/>
          <w:color w:val="auto"/>
        </w:rPr>
        <w:t>提交的</w:t>
      </w:r>
      <w:r>
        <w:rPr>
          <w:rFonts w:hint="eastAsia" w:asciiTheme="minorEastAsia" w:hAnsiTheme="minorEastAsia" w:eastAsiaTheme="minorEastAsia" w:cstheme="minorEastAsia"/>
          <w:color w:val="auto"/>
          <w:kern w:val="0"/>
          <w:szCs w:val="21"/>
        </w:rPr>
        <w:t>响应文件、重新提交的响应文件)的符合性审查。磋商小组应当对响应文件进行符合性审查，供应商响应文件有下列情况之一，其响应文件无效（供应商不参加磋商），磋商小组应当告知有关供应商：</w:t>
      </w:r>
    </w:p>
    <w:p>
      <w:pPr>
        <w:widowControl/>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（1）不满足本章第24.1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kern w:val="0"/>
          <w:szCs w:val="21"/>
        </w:rPr>
        <w:t>规定的实质性要求的；</w:t>
      </w:r>
    </w:p>
    <w:p>
      <w:pPr>
        <w:widowControl/>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（2）不符合法律、规章、规范性文件和磋商文件规定的。</w:t>
      </w:r>
    </w:p>
    <w:p>
      <w:pPr>
        <w:widowControl/>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26.2</w:t>
      </w:r>
      <w:r>
        <w:rPr>
          <w:rFonts w:hint="eastAsia" w:asciiTheme="minorEastAsia" w:hAnsiTheme="minorEastAsia" w:eastAsiaTheme="minorEastAsia" w:cstheme="minorEastAsia"/>
          <w:color w:val="auto"/>
          <w:kern w:val="0"/>
          <w:szCs w:val="21"/>
        </w:rPr>
        <w:t>符合性审查结束后</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kern w:val="0"/>
          <w:szCs w:val="21"/>
        </w:rPr>
        <w:t>磋商小组所有成员集中与单一供应商分别进行磋商，并给予所有参加磋商的供应商平等的磋商机会。供应商应派其法定代表人或委托代理人参加磋商。</w:t>
      </w:r>
    </w:p>
    <w:p>
      <w:pPr>
        <w:widowControl/>
        <w:adjustRightInd w:val="0"/>
        <w:snapToGrid w:val="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27.磋商</w:t>
      </w:r>
    </w:p>
    <w:p>
      <w:pPr>
        <w:widowControl/>
        <w:adjustRightInd w:val="0"/>
        <w:snapToGrid w:val="0"/>
        <w:ind w:firstLine="420"/>
        <w:jc w:val="left"/>
        <w:rPr>
          <w:rFonts w:hint="eastAsia"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rPr>
        <w:t>27.1对于</w:t>
      </w:r>
      <w:r>
        <w:rPr>
          <w:rFonts w:hint="eastAsia" w:asciiTheme="minorEastAsia" w:hAnsiTheme="minorEastAsia" w:eastAsiaTheme="minorEastAsia" w:cstheme="minorEastAsia"/>
          <w:color w:val="auto"/>
        </w:rPr>
        <w:t>本章第8.3项</w:t>
      </w:r>
      <w:r>
        <w:rPr>
          <w:rFonts w:hint="eastAsia" w:asciiTheme="minorEastAsia" w:hAnsiTheme="minorEastAsia" w:eastAsiaTheme="minorEastAsia" w:cstheme="minorEastAsia"/>
          <w:color w:val="auto"/>
          <w:kern w:val="0"/>
          <w:szCs w:val="21"/>
        </w:rPr>
        <w:t>未明确磋商文件实质性变动内容，或者磋商文件明确了可能发生实质性变动内容，但在磋商过程中，</w:t>
      </w:r>
      <w:r>
        <w:rPr>
          <w:rFonts w:hint="eastAsia" w:asciiTheme="minorEastAsia" w:hAnsiTheme="minorEastAsia" w:eastAsiaTheme="minorEastAsia" w:cstheme="minorEastAsia"/>
          <w:bCs/>
          <w:color w:val="auto"/>
          <w:szCs w:val="21"/>
        </w:rPr>
        <w:t>磋商小组</w:t>
      </w:r>
      <w:r>
        <w:rPr>
          <w:rFonts w:hint="eastAsia" w:asciiTheme="minorEastAsia" w:hAnsiTheme="minorEastAsia" w:eastAsiaTheme="minorEastAsia" w:cstheme="minorEastAsia"/>
          <w:color w:val="auto"/>
          <w:kern w:val="0"/>
          <w:szCs w:val="21"/>
        </w:rPr>
        <w:t>根据磋商情况</w:t>
      </w:r>
      <w:r>
        <w:rPr>
          <w:rFonts w:hint="eastAsia" w:asciiTheme="minorEastAsia" w:hAnsiTheme="minorEastAsia" w:eastAsiaTheme="minorEastAsia" w:cstheme="minorEastAsia"/>
          <w:bCs/>
          <w:color w:val="auto"/>
          <w:szCs w:val="21"/>
        </w:rPr>
        <w:t>认为</w:t>
      </w:r>
      <w:r>
        <w:rPr>
          <w:rFonts w:hint="eastAsia" w:asciiTheme="minorEastAsia" w:hAnsiTheme="minorEastAsia" w:eastAsiaTheme="minorEastAsia" w:cstheme="minorEastAsia"/>
          <w:color w:val="auto"/>
          <w:kern w:val="0"/>
          <w:szCs w:val="21"/>
        </w:rPr>
        <w:t>磋商文件无需发生实质性变动的，磋商小组应当</w:t>
      </w:r>
      <w:r>
        <w:rPr>
          <w:rFonts w:hint="eastAsia" w:asciiTheme="minorEastAsia" w:hAnsiTheme="minorEastAsia" w:eastAsiaTheme="minorEastAsia" w:cstheme="minorEastAsia"/>
          <w:color w:val="auto"/>
          <w:szCs w:val="21"/>
        </w:rPr>
        <w:t>根据本章第26.1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w:t>
      </w:r>
      <w:r>
        <w:rPr>
          <w:rFonts w:hint="eastAsia" w:asciiTheme="minorEastAsia" w:hAnsiTheme="minorEastAsia" w:eastAsiaTheme="minorEastAsia" w:cstheme="minorEastAsia"/>
          <w:color w:val="auto"/>
          <w:kern w:val="0"/>
          <w:szCs w:val="21"/>
        </w:rPr>
        <w:t>对供应商提交的首次响应文件进行符合性审查，直接与实质性响应磋商文件要求的供应商就价格组织多轮磋商。</w:t>
      </w:r>
    </w:p>
    <w:p>
      <w:pPr>
        <w:widowControl/>
        <w:tabs>
          <w:tab w:val="left" w:pos="1080"/>
          <w:tab w:val="left" w:pos="1260"/>
        </w:tabs>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（2）磋商文件明确可能发生实质性变动，但在磋商过程中</w:t>
      </w:r>
      <w:r>
        <w:rPr>
          <w:rFonts w:hint="eastAsia" w:asciiTheme="minorEastAsia" w:hAnsiTheme="minorEastAsia" w:eastAsiaTheme="minorEastAsia" w:cstheme="minorEastAsia"/>
          <w:bCs/>
          <w:color w:val="auto"/>
          <w:szCs w:val="21"/>
        </w:rPr>
        <w:t>磋商小组</w:t>
      </w:r>
      <w:r>
        <w:rPr>
          <w:rFonts w:hint="eastAsia" w:asciiTheme="minorEastAsia" w:hAnsiTheme="minorEastAsia" w:eastAsiaTheme="minorEastAsia" w:cstheme="minorEastAsia"/>
          <w:color w:val="auto"/>
          <w:kern w:val="0"/>
          <w:szCs w:val="21"/>
        </w:rPr>
        <w:t>根据磋商情况</w:t>
      </w:r>
      <w:r>
        <w:rPr>
          <w:rFonts w:hint="eastAsia" w:asciiTheme="minorEastAsia" w:hAnsiTheme="minorEastAsia" w:eastAsiaTheme="minorEastAsia" w:cstheme="minorEastAsia"/>
          <w:bCs/>
          <w:color w:val="auto"/>
          <w:szCs w:val="21"/>
        </w:rPr>
        <w:t>认为</w:t>
      </w:r>
      <w:r>
        <w:rPr>
          <w:rFonts w:hint="eastAsia" w:asciiTheme="minorEastAsia" w:hAnsiTheme="minorEastAsia" w:eastAsiaTheme="minorEastAsia" w:cstheme="minorEastAsia"/>
          <w:color w:val="auto"/>
          <w:kern w:val="0"/>
          <w:szCs w:val="21"/>
        </w:rPr>
        <w:t>磋商文件无需发生实质性变动的，磋商小组不另行通知。</w:t>
      </w:r>
    </w:p>
    <w:p>
      <w:pPr>
        <w:widowControl/>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27.2对于</w:t>
      </w:r>
      <w:r>
        <w:rPr>
          <w:rFonts w:hint="eastAsia" w:asciiTheme="minorEastAsia" w:hAnsiTheme="minorEastAsia" w:eastAsiaTheme="minorEastAsia" w:cstheme="minorEastAsia"/>
          <w:color w:val="auto"/>
        </w:rPr>
        <w:t>本章第8.3</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kern w:val="0"/>
          <w:szCs w:val="21"/>
        </w:rPr>
        <w:t>明确磋商文件实质性变动内容，且在磋商过程中磋商文件实质性内容发生变动的，</w:t>
      </w:r>
      <w:r>
        <w:rPr>
          <w:rFonts w:hint="eastAsia" w:asciiTheme="minorEastAsia" w:hAnsiTheme="minorEastAsia" w:eastAsiaTheme="minorEastAsia" w:cstheme="minorEastAsia"/>
          <w:bCs/>
          <w:color w:val="auto"/>
          <w:szCs w:val="21"/>
        </w:rPr>
        <w:t>磋商小组</w:t>
      </w:r>
      <w:r>
        <w:rPr>
          <w:rFonts w:hint="eastAsia" w:asciiTheme="minorEastAsia" w:hAnsiTheme="minorEastAsia" w:eastAsiaTheme="minorEastAsia" w:cstheme="minorEastAsia"/>
          <w:color w:val="auto"/>
          <w:kern w:val="0"/>
          <w:szCs w:val="21"/>
        </w:rPr>
        <w:t>可以组织多轮磋商。</w:t>
      </w:r>
      <w:r>
        <w:rPr>
          <w:rFonts w:hint="eastAsia" w:asciiTheme="minorEastAsia" w:hAnsiTheme="minorEastAsia" w:eastAsiaTheme="minorEastAsia" w:cstheme="minorEastAsia"/>
          <w:bCs/>
          <w:color w:val="auto"/>
          <w:szCs w:val="21"/>
        </w:rPr>
        <w:t>在每一轮磋商中，磋商小组</w:t>
      </w:r>
      <w:r>
        <w:rPr>
          <w:rFonts w:hint="eastAsia" w:asciiTheme="minorEastAsia" w:hAnsiTheme="minorEastAsia" w:eastAsiaTheme="minorEastAsia" w:cstheme="minorEastAsia"/>
          <w:color w:val="auto"/>
          <w:kern w:val="0"/>
          <w:szCs w:val="21"/>
        </w:rPr>
        <w:t>可以根据磋商文件规定和磋商情况，</w:t>
      </w:r>
      <w:r>
        <w:rPr>
          <w:rFonts w:hint="eastAsia" w:asciiTheme="minorEastAsia" w:hAnsiTheme="minorEastAsia" w:eastAsiaTheme="minorEastAsia" w:cstheme="minorEastAsia"/>
          <w:bCs/>
          <w:color w:val="auto"/>
          <w:szCs w:val="21"/>
        </w:rPr>
        <w:t>对磋商文件的</w:t>
      </w:r>
      <w:r>
        <w:rPr>
          <w:rFonts w:hint="eastAsia" w:asciiTheme="minorEastAsia" w:hAnsiTheme="minorEastAsia" w:eastAsiaTheme="minorEastAsia" w:cstheme="minorEastAsia"/>
          <w:color w:val="auto"/>
          <w:kern w:val="0"/>
          <w:szCs w:val="21"/>
        </w:rPr>
        <w:t>采购需求中的技术、服务要求以及合同草案条款</w:t>
      </w:r>
      <w:r>
        <w:rPr>
          <w:rFonts w:hint="eastAsia" w:asciiTheme="minorEastAsia" w:hAnsiTheme="minorEastAsia" w:eastAsiaTheme="minorEastAsia" w:cstheme="minorEastAsia"/>
          <w:bCs/>
          <w:color w:val="auto"/>
          <w:szCs w:val="21"/>
        </w:rPr>
        <w:t>作实质性变动(磋商文件的实质性变动内容为磋商文件的组成部分)，并以书面形式要求</w:t>
      </w:r>
      <w:r>
        <w:rPr>
          <w:rFonts w:hint="eastAsia" w:asciiTheme="minorEastAsia" w:hAnsiTheme="minorEastAsia" w:eastAsiaTheme="minorEastAsia" w:cstheme="minorEastAsia"/>
          <w:color w:val="auto"/>
          <w:kern w:val="0"/>
          <w:szCs w:val="21"/>
        </w:rPr>
        <w:t>符合性审查合格</w:t>
      </w:r>
      <w:r>
        <w:rPr>
          <w:rFonts w:hint="eastAsia" w:asciiTheme="minorEastAsia" w:hAnsiTheme="minorEastAsia" w:eastAsiaTheme="minorEastAsia" w:cstheme="minorEastAsia"/>
          <w:bCs/>
          <w:color w:val="auto"/>
          <w:szCs w:val="21"/>
        </w:rPr>
        <w:t>的供应商，在规定的</w:t>
      </w:r>
      <w:r>
        <w:rPr>
          <w:rFonts w:hint="eastAsia" w:asciiTheme="minorEastAsia" w:hAnsiTheme="minorEastAsia" w:eastAsiaTheme="minorEastAsia" w:cstheme="minorEastAsia"/>
          <w:color w:val="auto"/>
          <w:kern w:val="0"/>
          <w:szCs w:val="21"/>
        </w:rPr>
        <w:t>截止时间前</w:t>
      </w:r>
      <w:r>
        <w:rPr>
          <w:rFonts w:hint="eastAsia" w:asciiTheme="minorEastAsia" w:hAnsiTheme="minorEastAsia" w:eastAsiaTheme="minorEastAsia" w:cstheme="minorEastAsia"/>
          <w:bCs/>
          <w:color w:val="auto"/>
          <w:szCs w:val="21"/>
        </w:rPr>
        <w:t>重</w:t>
      </w:r>
      <w:r>
        <w:rPr>
          <w:rFonts w:hint="eastAsia" w:asciiTheme="minorEastAsia" w:hAnsiTheme="minorEastAsia" w:eastAsiaTheme="minorEastAsia" w:cstheme="minorEastAsia"/>
          <w:color w:val="auto"/>
          <w:kern w:val="0"/>
          <w:szCs w:val="21"/>
        </w:rPr>
        <w:t>新提交响应文件</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kern w:val="0"/>
          <w:szCs w:val="21"/>
        </w:rPr>
        <w:t>磋商小组应当</w:t>
      </w:r>
      <w:r>
        <w:rPr>
          <w:rFonts w:hint="eastAsia" w:asciiTheme="minorEastAsia" w:hAnsiTheme="minorEastAsia" w:eastAsiaTheme="minorEastAsia" w:cstheme="minorEastAsia"/>
          <w:color w:val="auto"/>
          <w:szCs w:val="21"/>
        </w:rPr>
        <w:t>根据本章第26.1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w:t>
      </w:r>
      <w:r>
        <w:rPr>
          <w:rFonts w:hint="eastAsia" w:asciiTheme="minorEastAsia" w:hAnsiTheme="minorEastAsia" w:eastAsiaTheme="minorEastAsia" w:cstheme="minorEastAsia"/>
          <w:color w:val="auto"/>
          <w:kern w:val="0"/>
          <w:szCs w:val="21"/>
        </w:rPr>
        <w:t>对供应商重新提交的响应文件进行符合性审查。供应商重新提交的响应文件未通过符合性审查的，不得进入下一轮磋商，也不得要求提交最后报价。</w:t>
      </w:r>
    </w:p>
    <w:p>
      <w:pPr>
        <w:adjustRightInd w:val="0"/>
        <w:snapToGri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420" w:lineRule="exact"/>
        <w:ind w:firstLine="42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27.3</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Cs/>
          <w:color w:val="auto"/>
        </w:rPr>
        <w:t>重</w:t>
      </w:r>
      <w:r>
        <w:rPr>
          <w:rFonts w:hint="eastAsia" w:asciiTheme="minorEastAsia" w:hAnsiTheme="minorEastAsia" w:eastAsiaTheme="minorEastAsia" w:cstheme="minorEastAsia"/>
          <w:color w:val="auto"/>
          <w:kern w:val="0"/>
        </w:rPr>
        <w:t>新提交的响应文件</w:t>
      </w:r>
      <w:r>
        <w:rPr>
          <w:rFonts w:hint="eastAsia" w:asciiTheme="minorEastAsia" w:hAnsiTheme="minorEastAsia" w:eastAsiaTheme="minorEastAsia" w:cstheme="minorEastAsia"/>
          <w:color w:val="auto"/>
        </w:rPr>
        <w:t>或者最后报价应按</w:t>
      </w:r>
      <w:r>
        <w:rPr>
          <w:rFonts w:hint="eastAsia" w:asciiTheme="minorEastAsia" w:hAnsiTheme="minorEastAsia" w:eastAsiaTheme="minorEastAsia" w:cstheme="minorEastAsia"/>
          <w:color w:val="auto"/>
          <w:kern w:val="0"/>
          <w:szCs w:val="21"/>
        </w:rPr>
        <w:t>本章第</w:t>
      </w:r>
      <w:r>
        <w:rPr>
          <w:rFonts w:hint="eastAsia" w:asciiTheme="minorEastAsia" w:hAnsiTheme="minorEastAsia" w:eastAsiaTheme="minorEastAsia" w:cstheme="minorEastAsia"/>
          <w:color w:val="auto"/>
        </w:rPr>
        <w:t>17.3</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规定，</w:t>
      </w:r>
      <w:r>
        <w:rPr>
          <w:rFonts w:hint="eastAsia" w:asciiTheme="minorEastAsia" w:hAnsiTheme="minorEastAsia" w:eastAsiaTheme="minorEastAsia" w:cstheme="minorEastAsia"/>
          <w:color w:val="auto"/>
          <w:kern w:val="0"/>
          <w:szCs w:val="21"/>
        </w:rPr>
        <w:t>由其法定代表人或其委托代理人签字或者加盖</w:t>
      </w:r>
      <w:r>
        <w:rPr>
          <w:rFonts w:hint="eastAsia" w:asciiTheme="minorEastAsia" w:hAnsiTheme="minorEastAsia" w:eastAsiaTheme="minorEastAsia" w:cstheme="minorEastAsia"/>
          <w:color w:val="auto"/>
          <w:kern w:val="0"/>
        </w:rPr>
        <w:t>供应商单位</w:t>
      </w:r>
      <w:r>
        <w:rPr>
          <w:rFonts w:hint="eastAsia" w:asciiTheme="minorEastAsia" w:hAnsiTheme="minorEastAsia" w:eastAsiaTheme="minorEastAsia" w:cstheme="minorEastAsia"/>
          <w:color w:val="auto"/>
          <w:kern w:val="0"/>
          <w:szCs w:val="21"/>
        </w:rPr>
        <w:t>章，在规定时间内密封递交给磋商小组</w:t>
      </w:r>
      <w:r>
        <w:rPr>
          <w:rFonts w:hint="eastAsia" w:asciiTheme="minorEastAsia" w:hAnsiTheme="minorEastAsia" w:eastAsiaTheme="minorEastAsia" w:cstheme="minorEastAsia"/>
          <w:bCs/>
          <w:color w:val="auto"/>
          <w:szCs w:val="21"/>
        </w:rPr>
        <w:t>。</w:t>
      </w:r>
    </w:p>
    <w:p>
      <w:pPr>
        <w:widowControl/>
        <w:adjustRightInd w:val="0"/>
        <w:snapToGrid w:val="0"/>
        <w:spacing w:line="420" w:lineRule="exact"/>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27.4</w:t>
      </w:r>
      <w:r>
        <w:rPr>
          <w:rFonts w:hint="eastAsia" w:asciiTheme="minorEastAsia" w:hAnsiTheme="minorEastAsia" w:eastAsiaTheme="minorEastAsia" w:cstheme="minorEastAsia"/>
          <w:color w:val="auto"/>
          <w:kern w:val="0"/>
          <w:szCs w:val="21"/>
          <w:lang w:val="zh-CN"/>
        </w:rPr>
        <w:t>供应商的</w:t>
      </w:r>
      <w:r>
        <w:rPr>
          <w:rFonts w:hint="eastAsia" w:asciiTheme="minorEastAsia" w:hAnsiTheme="minorEastAsia" w:eastAsiaTheme="minorEastAsia" w:cstheme="minorEastAsia"/>
          <w:bCs/>
          <w:color w:val="auto"/>
          <w:szCs w:val="21"/>
        </w:rPr>
        <w:t>最</w:t>
      </w:r>
      <w:r>
        <w:rPr>
          <w:rFonts w:hint="eastAsia" w:asciiTheme="minorEastAsia" w:hAnsiTheme="minorEastAsia" w:eastAsiaTheme="minorEastAsia" w:cstheme="minorEastAsia"/>
          <w:color w:val="auto"/>
          <w:kern w:val="0"/>
          <w:szCs w:val="21"/>
          <w:lang w:val="zh-CN"/>
        </w:rPr>
        <w:t>后</w:t>
      </w:r>
      <w:r>
        <w:rPr>
          <w:rFonts w:hint="eastAsia" w:asciiTheme="minorEastAsia" w:hAnsiTheme="minorEastAsia" w:eastAsiaTheme="minorEastAsia" w:cstheme="minorEastAsia"/>
          <w:bCs/>
          <w:color w:val="auto"/>
          <w:szCs w:val="21"/>
        </w:rPr>
        <w:t>报价及</w:t>
      </w:r>
      <w:r>
        <w:rPr>
          <w:rFonts w:hint="eastAsia" w:asciiTheme="minorEastAsia" w:hAnsiTheme="minorEastAsia" w:eastAsiaTheme="minorEastAsia" w:cstheme="minorEastAsia"/>
          <w:color w:val="auto"/>
          <w:kern w:val="0"/>
          <w:szCs w:val="21"/>
        </w:rPr>
        <w:t>采购政策规定的价格扣除情况，磋商小组应召集所有参加最后报价的供应商当场开封</w:t>
      </w:r>
      <w:r>
        <w:rPr>
          <w:rFonts w:hint="eastAsia" w:asciiTheme="minorEastAsia" w:hAnsiTheme="minorEastAsia" w:eastAsiaTheme="minorEastAsia" w:cstheme="minorEastAsia"/>
          <w:bCs/>
          <w:color w:val="auto"/>
          <w:szCs w:val="21"/>
        </w:rPr>
        <w:t>公布，并由供应商代表签字确认。</w:t>
      </w:r>
    </w:p>
    <w:p>
      <w:pPr>
        <w:widowControl/>
        <w:adjustRightInd w:val="0"/>
        <w:snapToGrid w:val="0"/>
        <w:spacing w:line="420" w:lineRule="exact"/>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27.5提交首次响应文件的供应商，在提交最后报价之前，可以根据磋商情况退出磋商，</w:t>
      </w:r>
      <w:r>
        <w:rPr>
          <w:rFonts w:hint="eastAsia" w:asciiTheme="minorEastAsia" w:hAnsiTheme="minorEastAsia" w:eastAsiaTheme="minorEastAsia" w:cstheme="minorEastAsia"/>
          <w:color w:val="auto"/>
          <w:kern w:val="0"/>
        </w:rPr>
        <w:t>并书面通知采购代理机构或者磋商小组。</w:t>
      </w:r>
      <w:r>
        <w:rPr>
          <w:rFonts w:hint="eastAsia" w:asciiTheme="minorEastAsia" w:hAnsiTheme="minorEastAsia" w:eastAsiaTheme="minorEastAsia" w:cstheme="minorEastAsia"/>
          <w:color w:val="auto"/>
        </w:rPr>
        <w:t>该通知由供应商法定代表人或其委托代理人签字。</w:t>
      </w:r>
      <w:r>
        <w:rPr>
          <w:rFonts w:hint="eastAsia" w:asciiTheme="minorEastAsia" w:hAnsiTheme="minorEastAsia" w:eastAsiaTheme="minorEastAsia" w:cstheme="minorEastAsia"/>
          <w:color w:val="auto"/>
          <w:kern w:val="0"/>
          <w:szCs w:val="21"/>
        </w:rPr>
        <w:t>采购代理机构</w:t>
      </w:r>
      <w:r>
        <w:rPr>
          <w:rFonts w:hint="eastAsia" w:asciiTheme="minorEastAsia" w:hAnsiTheme="minorEastAsia" w:eastAsiaTheme="minorEastAsia" w:cstheme="minorEastAsia"/>
          <w:color w:val="auto"/>
          <w:kern w:val="0"/>
        </w:rPr>
        <w:t>按</w:t>
      </w:r>
      <w:r>
        <w:rPr>
          <w:rFonts w:hint="eastAsia" w:asciiTheme="minorEastAsia" w:hAnsiTheme="minorEastAsia" w:eastAsiaTheme="minorEastAsia" w:cstheme="minorEastAsia"/>
          <w:color w:val="auto"/>
          <w:kern w:val="0"/>
          <w:szCs w:val="21"/>
        </w:rPr>
        <w:t>本章第</w:t>
      </w:r>
      <w:r>
        <w:rPr>
          <w:rFonts w:hint="eastAsia" w:asciiTheme="minorEastAsia" w:hAnsiTheme="minorEastAsia" w:eastAsiaTheme="minorEastAsia" w:cstheme="minorEastAsia"/>
          <w:color w:val="auto"/>
        </w:rPr>
        <w:t>17.4</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规定</w:t>
      </w:r>
      <w:r>
        <w:rPr>
          <w:rFonts w:hint="eastAsia" w:asciiTheme="minorEastAsia" w:hAnsiTheme="minorEastAsia" w:eastAsiaTheme="minorEastAsia" w:cstheme="minorEastAsia"/>
          <w:color w:val="auto"/>
          <w:kern w:val="0"/>
          <w:szCs w:val="21"/>
        </w:rPr>
        <w:t>退还退出磋商的供应商的保证金。</w:t>
      </w:r>
    </w:p>
    <w:p>
      <w:pPr>
        <w:adjustRightInd w:val="0"/>
        <w:snapToGrid w:val="0"/>
        <w:spacing w:line="42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27.6</w:t>
      </w:r>
      <w:r>
        <w:rPr>
          <w:rFonts w:hint="eastAsia" w:asciiTheme="minorEastAsia" w:hAnsiTheme="minorEastAsia" w:eastAsiaTheme="minorEastAsia" w:cstheme="minorEastAsia"/>
          <w:color w:val="auto"/>
          <w:kern w:val="0"/>
          <w:szCs w:val="21"/>
        </w:rPr>
        <w:t>提交首次响应文件的供应商，未按磋商文件规定及磋商小组要求提交最后报价(或者</w:t>
      </w:r>
      <w:r>
        <w:rPr>
          <w:rFonts w:hint="eastAsia" w:asciiTheme="minorEastAsia" w:hAnsiTheme="minorEastAsia" w:eastAsiaTheme="minorEastAsia" w:cstheme="minorEastAsia"/>
          <w:bCs/>
          <w:color w:val="auto"/>
          <w:szCs w:val="21"/>
        </w:rPr>
        <w:t>重</w:t>
      </w:r>
      <w:r>
        <w:rPr>
          <w:rFonts w:hint="eastAsia" w:asciiTheme="minorEastAsia" w:hAnsiTheme="minorEastAsia" w:eastAsiaTheme="minorEastAsia" w:cstheme="minorEastAsia"/>
          <w:color w:val="auto"/>
          <w:kern w:val="0"/>
          <w:szCs w:val="21"/>
        </w:rPr>
        <w:t>新提交的响应文件和最后报价)，且又</w:t>
      </w:r>
      <w:r>
        <w:rPr>
          <w:rFonts w:hint="eastAsia" w:asciiTheme="minorEastAsia" w:hAnsiTheme="minorEastAsia" w:eastAsiaTheme="minorEastAsia" w:cstheme="minorEastAsia"/>
          <w:color w:val="auto"/>
          <w:kern w:val="0"/>
        </w:rPr>
        <w:t>未按</w:t>
      </w:r>
      <w:r>
        <w:rPr>
          <w:rFonts w:hint="eastAsia" w:asciiTheme="minorEastAsia" w:hAnsiTheme="minorEastAsia" w:eastAsiaTheme="minorEastAsia" w:cstheme="minorEastAsia"/>
          <w:color w:val="auto"/>
          <w:kern w:val="0"/>
          <w:szCs w:val="21"/>
        </w:rPr>
        <w:t>本章第</w:t>
      </w:r>
      <w:r>
        <w:rPr>
          <w:rFonts w:hint="eastAsia" w:asciiTheme="minorEastAsia" w:hAnsiTheme="minorEastAsia" w:eastAsiaTheme="minorEastAsia" w:cstheme="minorEastAsia"/>
          <w:color w:val="auto"/>
        </w:rPr>
        <w:t>27.5</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rPr>
        <w:t>规定</w:t>
      </w:r>
      <w:r>
        <w:rPr>
          <w:rFonts w:hint="eastAsia" w:asciiTheme="minorEastAsia" w:hAnsiTheme="minorEastAsia" w:eastAsiaTheme="minorEastAsia" w:cstheme="minorEastAsia"/>
          <w:color w:val="auto"/>
          <w:kern w:val="0"/>
          <w:szCs w:val="21"/>
        </w:rPr>
        <w:t>退出磋商的，供应商的保证金不予退还。</w:t>
      </w:r>
    </w:p>
    <w:p>
      <w:pPr>
        <w:widowControl/>
        <w:adjustRightInd w:val="0"/>
        <w:snapToGrid w:val="0"/>
        <w:spacing w:line="420" w:lineRule="exact"/>
        <w:jc w:val="lef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t>28</w:t>
      </w:r>
      <w:r>
        <w:rPr>
          <w:rFonts w:hint="eastAsia" w:asciiTheme="minorEastAsia" w:hAnsiTheme="minorEastAsia" w:eastAsiaTheme="minorEastAsia" w:cstheme="minorEastAsia"/>
          <w:b/>
          <w:color w:val="auto"/>
          <w:kern w:val="0"/>
          <w:szCs w:val="21"/>
        </w:rPr>
        <w:t>.</w:t>
      </w:r>
      <w:r>
        <w:rPr>
          <w:rFonts w:hint="eastAsia" w:asciiTheme="minorEastAsia" w:hAnsiTheme="minorEastAsia" w:eastAsiaTheme="minorEastAsia" w:cstheme="minorEastAsia"/>
          <w:b/>
          <w:bCs/>
          <w:color w:val="auto"/>
          <w:szCs w:val="21"/>
        </w:rPr>
        <w:t>提出成交供应商</w:t>
      </w:r>
    </w:p>
    <w:p>
      <w:pPr>
        <w:widowControl/>
        <w:adjustRightInd w:val="0"/>
        <w:snapToGrid w:val="0"/>
        <w:spacing w:line="420" w:lineRule="exact"/>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28.1</w:t>
      </w:r>
      <w:r>
        <w:rPr>
          <w:rFonts w:hint="eastAsia" w:asciiTheme="minorEastAsia" w:hAnsiTheme="minorEastAsia" w:eastAsiaTheme="minorEastAsia" w:cstheme="minorEastAsia"/>
          <w:color w:val="auto"/>
          <w:kern w:val="0"/>
          <w:szCs w:val="21"/>
        </w:rPr>
        <w:t>磋商小组应当按照综合评分由高到低的顺序提出3名以上成交候选人，并编写评审报告。</w:t>
      </w:r>
    </w:p>
    <w:p>
      <w:pPr>
        <w:tabs>
          <w:tab w:val="left" w:pos="0"/>
        </w:tabs>
        <w:adjustRightInd w:val="0"/>
        <w:snapToGrid w:val="0"/>
        <w:spacing w:line="42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29.确定成交供应商</w:t>
      </w:r>
    </w:p>
    <w:p>
      <w:pPr>
        <w:widowControl/>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29.1采购代理机构应当在评审结束后2个工作日内将评审报告送采购人确认。</w:t>
      </w:r>
    </w:p>
    <w:p>
      <w:pPr>
        <w:widowControl/>
        <w:adjustRightInd w:val="0"/>
        <w:snapToGrid w:val="0"/>
        <w:spacing w:line="420" w:lineRule="exact"/>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29.2采购人应当在收到评审报告后5个工作日内，从评审报告提出的成交候选人中，根据综合评分得分最高的原则确定成交供应商，也可以书面授权磋商小组直接确定成交供应商。</w:t>
      </w:r>
    </w:p>
    <w:p>
      <w:pPr>
        <w:pStyle w:val="29"/>
        <w:adjustRightInd w:val="0"/>
        <w:snapToGrid w:val="0"/>
        <w:spacing w:line="420" w:lineRule="exact"/>
        <w:ind w:left="632" w:hanging="632" w:hangingChars="3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30.磋商的特殊情形</w:t>
      </w:r>
    </w:p>
    <w:p>
      <w:pPr>
        <w:adjustRightInd w:val="0"/>
        <w:snapToGrid w:val="0"/>
        <w:spacing w:line="42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lang w:val="zh-CN"/>
        </w:rPr>
        <w:t>30.1</w:t>
      </w:r>
      <w:r>
        <w:rPr>
          <w:rFonts w:hint="eastAsia" w:asciiTheme="minorEastAsia" w:hAnsiTheme="minorEastAsia" w:eastAsiaTheme="minorEastAsia" w:cstheme="minorEastAsia"/>
          <w:color w:val="auto"/>
          <w:kern w:val="0"/>
          <w:szCs w:val="21"/>
        </w:rPr>
        <w:t>公开招标的货物、服务采购项目，招标过程中提交投标文件或者经评审实质性响应招标文件要求的供应商只有两家时，采购人、采购代理机构按照</w:t>
      </w:r>
      <w:r>
        <w:rPr>
          <w:rFonts w:hint="eastAsia" w:asciiTheme="minorEastAsia" w:hAnsiTheme="minorEastAsia" w:eastAsiaTheme="minorEastAsia" w:cstheme="minorEastAsia"/>
          <w:color w:val="auto"/>
          <w:szCs w:val="21"/>
        </w:rPr>
        <w:t>省级以上财政部门相关规定，</w:t>
      </w:r>
      <w:r>
        <w:rPr>
          <w:rFonts w:hint="eastAsia" w:asciiTheme="minorEastAsia" w:hAnsiTheme="minorEastAsia" w:eastAsiaTheme="minorEastAsia" w:cstheme="minorEastAsia"/>
          <w:color w:val="auto"/>
          <w:kern w:val="0"/>
          <w:szCs w:val="21"/>
        </w:rPr>
        <w:t>经本级财政部门批准后可以与该两家供应商进行竞争性磋商采购。符合本款情形的，本章第</w:t>
      </w:r>
      <w:r>
        <w:rPr>
          <w:rFonts w:hint="eastAsia" w:asciiTheme="minorEastAsia" w:hAnsiTheme="minorEastAsia" w:eastAsiaTheme="minorEastAsia" w:cstheme="minorEastAsia"/>
          <w:color w:val="auto"/>
          <w:kern w:val="0"/>
          <w:szCs w:val="21"/>
          <w:lang w:val="zh-CN"/>
        </w:rPr>
        <w:t>27.1款、第27.2款、第28.1款、第31.1款</w:t>
      </w:r>
      <w:r>
        <w:rPr>
          <w:rFonts w:hint="eastAsia" w:asciiTheme="minorEastAsia" w:hAnsiTheme="minorEastAsia" w:eastAsiaTheme="minorEastAsia" w:cstheme="minorEastAsia"/>
          <w:color w:val="auto"/>
          <w:kern w:val="0"/>
          <w:szCs w:val="21"/>
        </w:rPr>
        <w:t>中规定的供应商最低数量可以为两家。</w:t>
      </w:r>
    </w:p>
    <w:p>
      <w:pPr>
        <w:pStyle w:val="29"/>
        <w:adjustRightInd w:val="0"/>
        <w:snapToGrid w:val="0"/>
        <w:spacing w:line="420" w:lineRule="exact"/>
        <w:ind w:left="632" w:hanging="632" w:hangingChars="30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31.磋商终止</w:t>
      </w:r>
    </w:p>
    <w:p>
      <w:pPr>
        <w:widowControl/>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31.1</w:t>
      </w:r>
      <w:r>
        <w:rPr>
          <w:rFonts w:hint="eastAsia" w:asciiTheme="minorEastAsia" w:hAnsiTheme="minorEastAsia" w:eastAsiaTheme="minorEastAsia" w:cstheme="minorEastAsia"/>
          <w:color w:val="auto"/>
          <w:kern w:val="0"/>
          <w:szCs w:val="21"/>
        </w:rPr>
        <w:t>出现下列情形之一的，采购人或者采购代理机构应当终止竞争性磋商采购活动，</w:t>
      </w:r>
      <w:r>
        <w:rPr>
          <w:rFonts w:hint="eastAsia" w:asciiTheme="minorEastAsia" w:hAnsiTheme="minorEastAsia" w:eastAsiaTheme="minorEastAsia" w:cstheme="minorEastAsia"/>
          <w:color w:val="auto"/>
        </w:rPr>
        <w:t>在</w:t>
      </w:r>
      <w:r>
        <w:rPr>
          <w:rFonts w:hint="eastAsia" w:asciiTheme="minorEastAsia" w:hAnsiTheme="minorEastAsia" w:eastAsiaTheme="minorEastAsia" w:cstheme="minorEastAsia"/>
          <w:color w:val="auto"/>
          <w:szCs w:val="21"/>
        </w:rPr>
        <w:t>省级以上财政部门</w:t>
      </w:r>
      <w:r>
        <w:rPr>
          <w:rFonts w:hint="eastAsia" w:asciiTheme="minorEastAsia" w:hAnsiTheme="minorEastAsia" w:eastAsiaTheme="minorEastAsia" w:cstheme="minorEastAsia"/>
          <w:color w:val="auto"/>
        </w:rPr>
        <w:t>指定的媒体上</w:t>
      </w:r>
      <w:r>
        <w:rPr>
          <w:rFonts w:hint="eastAsia" w:asciiTheme="minorEastAsia" w:hAnsiTheme="minorEastAsia" w:eastAsiaTheme="minorEastAsia" w:cstheme="minorEastAsia"/>
          <w:color w:val="auto"/>
          <w:kern w:val="0"/>
          <w:szCs w:val="21"/>
        </w:rPr>
        <w:t xml:space="preserve">发布项目终止公告并说明原因，重新开展采购活动： </w:t>
      </w:r>
    </w:p>
    <w:p>
      <w:pPr>
        <w:widowControl/>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（1）因情况变化，不再符合规定的竞争性磋商采购方式适用情形的；</w:t>
      </w:r>
    </w:p>
    <w:p>
      <w:pPr>
        <w:widowControl/>
        <w:adjustRightInd w:val="0"/>
        <w:snapToGrid w:val="0"/>
        <w:spacing w:line="420" w:lineRule="exact"/>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（2）出现影响采购公正的违法、违规行为的；</w:t>
      </w:r>
    </w:p>
    <w:p>
      <w:pPr>
        <w:widowControl/>
        <w:adjustRightInd w:val="0"/>
        <w:snapToGrid w:val="0"/>
        <w:spacing w:line="420" w:lineRule="exact"/>
        <w:ind w:firstLine="42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（3）在采购过程中符合竞争要求的供应商或者报价未超过采购预算的供应商不足3家的，或者提交最后报价的供应商少于3家的；</w:t>
      </w:r>
    </w:p>
    <w:p>
      <w:pPr>
        <w:widowControl/>
        <w:adjustRightInd w:val="0"/>
        <w:snapToGrid w:val="0"/>
        <w:spacing w:line="420" w:lineRule="exact"/>
        <w:ind w:firstLine="420"/>
        <w:jc w:val="lef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t>（4）</w:t>
      </w:r>
      <w:r>
        <w:rPr>
          <w:rFonts w:hint="eastAsia" w:asciiTheme="minorEastAsia" w:hAnsiTheme="minorEastAsia" w:eastAsiaTheme="minorEastAsia" w:cstheme="minorEastAsia"/>
          <w:bCs/>
          <w:color w:val="auto"/>
          <w:szCs w:val="21"/>
        </w:rPr>
        <w:t>因重大变故，采购任务取消的。</w:t>
      </w:r>
    </w:p>
    <w:p>
      <w:pPr>
        <w:widowControl/>
        <w:adjustRightInd w:val="0"/>
        <w:snapToGrid w:val="0"/>
        <w:spacing w:line="420" w:lineRule="exact"/>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32．重新评审</w:t>
      </w:r>
    </w:p>
    <w:p>
      <w:pPr>
        <w:widowControl/>
        <w:adjustRightInd w:val="0"/>
        <w:snapToGrid w:val="0"/>
        <w:spacing w:line="420" w:lineRule="exact"/>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除资格性审查认定错误和价格计算错误外，采购人或者采购代理机构不以任何理由组织重新评审。采购人、采购代理机构发现磋商小组未按照采购文件规定的评定成交的标准进行评审的，应当重新开展采购活动，并同时书面报告本级财政部门。</w:t>
      </w:r>
    </w:p>
    <w:p>
      <w:pPr>
        <w:adjustRightInd w:val="0"/>
        <w:snapToGrid w:val="0"/>
        <w:spacing w:line="42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33.保密及串通行为</w:t>
      </w:r>
    </w:p>
    <w:p>
      <w:pPr>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33.1磋商小组成员以及与评审工作有关的人员不得泄露评审情况以及评审过程中获悉的国家秘密、商业秘密。</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33.2</w:t>
      </w:r>
      <w:r>
        <w:rPr>
          <w:rFonts w:hint="eastAsia" w:asciiTheme="minorEastAsia" w:hAnsiTheme="minorEastAsia" w:eastAsiaTheme="minorEastAsia" w:cstheme="minorEastAsia"/>
          <w:color w:val="auto"/>
          <w:kern w:val="0"/>
          <w:szCs w:val="21"/>
        </w:rPr>
        <w:t>供应商</w:t>
      </w:r>
      <w:r>
        <w:rPr>
          <w:rFonts w:hint="eastAsia" w:asciiTheme="minorEastAsia" w:hAnsiTheme="minorEastAsia" w:eastAsiaTheme="minorEastAsia" w:cstheme="minorEastAsia"/>
          <w:color w:val="auto"/>
          <w:szCs w:val="21"/>
        </w:rPr>
        <w:t>不得与</w:t>
      </w:r>
      <w:r>
        <w:rPr>
          <w:rFonts w:hint="eastAsia" w:asciiTheme="minorEastAsia" w:hAnsiTheme="minorEastAsia" w:eastAsiaTheme="minorEastAsia" w:cstheme="minorEastAsia"/>
          <w:color w:val="auto"/>
          <w:kern w:val="0"/>
          <w:szCs w:val="21"/>
        </w:rPr>
        <w:t>采购人、采购代理机构、其他供应商恶意</w:t>
      </w:r>
      <w:r>
        <w:rPr>
          <w:rFonts w:hint="eastAsia" w:asciiTheme="minorEastAsia" w:hAnsiTheme="minorEastAsia" w:eastAsiaTheme="minorEastAsia" w:cstheme="minorEastAsia"/>
          <w:color w:val="auto"/>
          <w:szCs w:val="21"/>
        </w:rPr>
        <w:t>串通；不得向</w:t>
      </w:r>
      <w:r>
        <w:rPr>
          <w:rFonts w:hint="eastAsia" w:asciiTheme="minorEastAsia" w:hAnsiTheme="minorEastAsia" w:eastAsiaTheme="minorEastAsia" w:cstheme="minorEastAsia"/>
          <w:color w:val="auto"/>
          <w:kern w:val="0"/>
          <w:szCs w:val="21"/>
        </w:rPr>
        <w:t>采购人、采购代理机构</w:t>
      </w:r>
      <w:r>
        <w:rPr>
          <w:rFonts w:hint="eastAsia" w:asciiTheme="minorEastAsia" w:hAnsiTheme="minorEastAsia" w:eastAsiaTheme="minorEastAsia" w:cstheme="minorEastAsia"/>
          <w:color w:val="auto"/>
          <w:szCs w:val="21"/>
        </w:rPr>
        <w:t>或者磋商小组成员行贿或者提供其他不正当利益；不得提供虚假材料谋取成交；不得以任何方式干扰、影响采购工作。</w:t>
      </w:r>
    </w:p>
    <w:p>
      <w:pPr>
        <w:pStyle w:val="47"/>
        <w:adjustRightInd w:val="0"/>
        <w:snapToGrid w:val="0"/>
        <w:spacing w:before="0" w:beforeAutospacing="0" w:after="0" w:afterAutospacing="0" w:line="420" w:lineRule="exact"/>
        <w:ind w:firstLine="420" w:firstLineChars="200"/>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33.3有下列情形之一的，</w:t>
      </w:r>
      <w:r>
        <w:rPr>
          <w:rFonts w:hint="eastAsia" w:asciiTheme="minorEastAsia" w:hAnsiTheme="minorEastAsia" w:eastAsiaTheme="minorEastAsia" w:cstheme="minorEastAsia"/>
          <w:color w:val="auto"/>
          <w:sz w:val="21"/>
          <w:szCs w:val="21"/>
          <w:lang w:val="zh-CN"/>
        </w:rPr>
        <w:t>属于恶意串通，</w:t>
      </w:r>
      <w:r>
        <w:rPr>
          <w:rFonts w:hint="eastAsia" w:asciiTheme="minorEastAsia" w:hAnsiTheme="minorEastAsia" w:eastAsiaTheme="minorEastAsia" w:cstheme="minorEastAsia"/>
          <w:color w:val="auto"/>
          <w:sz w:val="21"/>
          <w:szCs w:val="21"/>
        </w:rPr>
        <w:t>成交无效，并</w:t>
      </w:r>
      <w:r>
        <w:rPr>
          <w:rFonts w:hint="eastAsia" w:asciiTheme="minorEastAsia" w:hAnsiTheme="minorEastAsia" w:eastAsiaTheme="minorEastAsia" w:cstheme="minorEastAsia"/>
          <w:color w:val="auto"/>
          <w:sz w:val="21"/>
          <w:szCs w:val="21"/>
          <w:lang w:val="zh-CN"/>
        </w:rPr>
        <w:t>参照《政府采购法》第七十七条的规定追究法律责任：</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（1）供应商直接或者间接从</w:t>
      </w:r>
      <w:r>
        <w:rPr>
          <w:rFonts w:hint="eastAsia" w:asciiTheme="minorEastAsia" w:hAnsiTheme="minorEastAsia" w:eastAsiaTheme="minorEastAsia" w:cstheme="minorEastAsia"/>
          <w:bCs/>
          <w:color w:val="auto"/>
          <w:szCs w:val="21"/>
        </w:rPr>
        <w:t>采购人、采购代理机构</w:t>
      </w:r>
      <w:r>
        <w:rPr>
          <w:rFonts w:hint="eastAsia" w:asciiTheme="minorEastAsia" w:hAnsiTheme="minorEastAsia" w:eastAsiaTheme="minorEastAsia" w:cstheme="minorEastAsia"/>
          <w:color w:val="auto"/>
          <w:szCs w:val="21"/>
        </w:rPr>
        <w:t>获得其他供应商的响应情况，并修改其响应文件</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szCs w:val="21"/>
        </w:rPr>
        <w:t>；</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bCs/>
          <w:color w:val="auto"/>
          <w:szCs w:val="21"/>
        </w:rPr>
        <w:t>采购人、采购代理机构</w:t>
      </w:r>
      <w:r>
        <w:rPr>
          <w:rFonts w:hint="eastAsia" w:asciiTheme="minorEastAsia" w:hAnsiTheme="minorEastAsia" w:eastAsiaTheme="minorEastAsia" w:cstheme="minorEastAsia"/>
          <w:color w:val="auto"/>
          <w:szCs w:val="21"/>
        </w:rPr>
        <w:t>授意供应商撤换、修改响应文件</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szCs w:val="21"/>
        </w:rPr>
        <w:t>；</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（3）供应商之间协商技术方案、合同条款以及报价等响应文件实质性内容</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szCs w:val="21"/>
        </w:rPr>
        <w:t>；</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（4）属于同一集团、协会、商会等组织成员的供应商按照该组织要求协同参加竞争性磋商采购活动</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szCs w:val="21"/>
        </w:rPr>
        <w:t>；</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（5）供应商之间事先约定由某一特定供应商成交</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szCs w:val="21"/>
        </w:rPr>
        <w:t>；</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（6）供应商之间商定部分供应商放弃</w:t>
      </w:r>
      <w:r>
        <w:rPr>
          <w:rFonts w:hint="eastAsia" w:asciiTheme="minorEastAsia" w:hAnsiTheme="minorEastAsia" w:eastAsiaTheme="minorEastAsia" w:cstheme="minorEastAsia"/>
          <w:color w:val="auto"/>
        </w:rPr>
        <w:t>提</w:t>
      </w:r>
      <w:r>
        <w:rPr>
          <w:rFonts w:hint="eastAsia" w:asciiTheme="minorEastAsia" w:hAnsiTheme="minorEastAsia" w:eastAsiaTheme="minorEastAsia" w:cstheme="minorEastAsia"/>
          <w:color w:val="auto"/>
          <w:szCs w:val="21"/>
        </w:rPr>
        <w:t>交响应文件或者退出磋商或者放弃成交</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szCs w:val="21"/>
        </w:rPr>
        <w:t>；</w:t>
      </w:r>
    </w:p>
    <w:p>
      <w:pPr>
        <w:adjustRightInd w:val="0"/>
        <w:snapToGrid w:val="0"/>
        <w:spacing w:line="420" w:lineRule="exact"/>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（7）供应商与</w:t>
      </w:r>
      <w:r>
        <w:rPr>
          <w:rFonts w:hint="eastAsia" w:asciiTheme="minorEastAsia" w:hAnsiTheme="minorEastAsia" w:eastAsiaTheme="minorEastAsia" w:cstheme="minorEastAsia"/>
          <w:bCs/>
          <w:color w:val="auto"/>
          <w:szCs w:val="21"/>
        </w:rPr>
        <w:t>采购人、采购代理机构以及</w:t>
      </w:r>
      <w:r>
        <w:rPr>
          <w:rFonts w:hint="eastAsia" w:asciiTheme="minorEastAsia" w:hAnsiTheme="minorEastAsia" w:eastAsiaTheme="minorEastAsia" w:cstheme="minorEastAsia"/>
          <w:color w:val="auto"/>
          <w:szCs w:val="21"/>
        </w:rPr>
        <w:t>磋商小组成员之间、供应商相互之间，为谋求特定供应商成交或者排斥其他供应商的其他串通行为</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szCs w:val="21"/>
        </w:rPr>
        <w:t>。</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（8）法律、行政法规或规章规定的其他串通行为。</w:t>
      </w:r>
    </w:p>
    <w:p>
      <w:pPr>
        <w:adjustRightInd w:val="0"/>
        <w:snapToGrid w:val="0"/>
        <w:spacing w:line="420" w:lineRule="exact"/>
        <w:outlineLvl w:val="1"/>
        <w:rPr>
          <w:rFonts w:hint="eastAsia" w:asciiTheme="minorEastAsia" w:hAnsiTheme="minorEastAsia" w:eastAsiaTheme="minorEastAsia" w:cstheme="minorEastAsia"/>
          <w:b/>
          <w:color w:val="auto"/>
          <w:sz w:val="24"/>
        </w:rPr>
      </w:pPr>
      <w:bookmarkStart w:id="11" w:name="_Toc14401"/>
      <w:r>
        <w:rPr>
          <w:rFonts w:hint="eastAsia" w:asciiTheme="minorEastAsia" w:hAnsiTheme="minorEastAsia" w:eastAsiaTheme="minorEastAsia" w:cstheme="minorEastAsia"/>
          <w:b/>
          <w:color w:val="auto"/>
          <w:sz w:val="24"/>
        </w:rPr>
        <w:t>六、成交结果信息公布与授予合同</w:t>
      </w:r>
      <w:bookmarkEnd w:id="11"/>
    </w:p>
    <w:p>
      <w:pPr>
        <w:adjustRightInd w:val="0"/>
        <w:snapToGrid w:val="0"/>
        <w:spacing w:line="42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34.成交信息的公布</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34.1成交供应商确定后2个工作日内，采购人或者采购代理机构应将成交结果信息在</w:t>
      </w:r>
      <w:r>
        <w:rPr>
          <w:rFonts w:hint="eastAsia" w:asciiTheme="minorEastAsia" w:hAnsiTheme="minorEastAsia" w:eastAsiaTheme="minorEastAsia" w:cstheme="minorEastAsia"/>
          <w:b/>
          <w:color w:val="auto"/>
        </w:rPr>
        <w:t>磋商须知前附表</w:t>
      </w:r>
      <w:r>
        <w:rPr>
          <w:rFonts w:hint="eastAsia" w:asciiTheme="minorEastAsia" w:hAnsiTheme="minorEastAsia" w:eastAsiaTheme="minorEastAsia" w:cstheme="minorEastAsia"/>
          <w:color w:val="auto"/>
        </w:rPr>
        <w:t>指定的媒体上公布。</w:t>
      </w:r>
    </w:p>
    <w:p>
      <w:pPr>
        <w:adjustRightInd w:val="0"/>
        <w:snapToGrid w:val="0"/>
        <w:spacing w:line="42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35.询问及质疑</w:t>
      </w:r>
    </w:p>
    <w:p>
      <w:pPr>
        <w:adjustRightInd w:val="0"/>
        <w:snapToGrid w:val="0"/>
        <w:spacing w:line="420" w:lineRule="exact"/>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35.1供应商对采购活动事项有疑问的，可以向采购人或采购代理机构提出询问。</w:t>
      </w:r>
    </w:p>
    <w:p>
      <w:pPr>
        <w:adjustRightInd w:val="0"/>
        <w:snapToGrid w:val="0"/>
        <w:spacing w:line="420" w:lineRule="exact"/>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35.2供应商若认为磋商文件、采购过程和成交结果使自己的权益受到损害，可以按法律、规章及湖南省财政厅规范性文件规定向采购人或采购代理机构提出质疑。</w:t>
      </w:r>
    </w:p>
    <w:p>
      <w:pPr>
        <w:adjustRightInd w:val="0"/>
        <w:snapToGrid w:val="0"/>
        <w:spacing w:line="42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36.成交通知</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36.1成交供应商确定后，采购人或采购代理机构将以书面形式向成交供应商发出成交通知书。成交通知书对采购人和成交供应商具有同等法律效力。</w:t>
      </w:r>
    </w:p>
    <w:p>
      <w:pPr>
        <w:pStyle w:val="29"/>
        <w:adjustRightInd w:val="0"/>
        <w:snapToGrid w:val="0"/>
        <w:spacing w:line="42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36.2 成交通知书是合同文件的组成部分。</w:t>
      </w:r>
    </w:p>
    <w:p>
      <w:pPr>
        <w:tabs>
          <w:tab w:val="left" w:pos="7560"/>
          <w:tab w:val="left" w:pos="7740"/>
          <w:tab w:val="left" w:pos="7920"/>
        </w:tabs>
        <w:autoSpaceDN w:val="0"/>
        <w:adjustRightInd w:val="0"/>
        <w:snapToGrid w:val="0"/>
        <w:spacing w:line="420" w:lineRule="exact"/>
        <w:ind w:firstLine="420" w:firstLineChars="200"/>
        <w:rPr>
          <w:rFonts w:hint="eastAsia" w:asciiTheme="minorEastAsia" w:hAnsiTheme="minorEastAsia" w:eastAsiaTheme="minorEastAsia" w:cstheme="minorEastAsia"/>
          <w:color w:val="auto"/>
          <w:spacing w:val="-2"/>
          <w:szCs w:val="21"/>
        </w:rPr>
      </w:pPr>
      <w:r>
        <w:rPr>
          <w:rFonts w:hint="eastAsia" w:asciiTheme="minorEastAsia" w:hAnsiTheme="minorEastAsia" w:eastAsiaTheme="minorEastAsia" w:cstheme="minorEastAsia"/>
          <w:color w:val="auto"/>
          <w:kern w:val="0"/>
          <w:szCs w:val="21"/>
        </w:rPr>
        <w:t xml:space="preserve">36.3 </w:t>
      </w:r>
      <w:r>
        <w:rPr>
          <w:rFonts w:hint="eastAsia" w:asciiTheme="minorEastAsia" w:hAnsiTheme="minorEastAsia" w:eastAsiaTheme="minorEastAsia" w:cstheme="minorEastAsia"/>
          <w:color w:val="auto"/>
          <w:spacing w:val="-2"/>
          <w:szCs w:val="21"/>
        </w:rPr>
        <w:t>成交供应商在收到采购代理机构的成交通知书后10日内，应按照</w:t>
      </w:r>
      <w:r>
        <w:rPr>
          <w:rFonts w:hint="eastAsia" w:asciiTheme="minorEastAsia" w:hAnsiTheme="minorEastAsia" w:eastAsiaTheme="minorEastAsia" w:cstheme="minorEastAsia"/>
          <w:b/>
          <w:color w:val="auto"/>
          <w:spacing w:val="-2"/>
          <w:szCs w:val="21"/>
        </w:rPr>
        <w:t>磋商须知前附表</w:t>
      </w:r>
      <w:r>
        <w:rPr>
          <w:rFonts w:hint="eastAsia" w:asciiTheme="minorEastAsia" w:hAnsiTheme="minorEastAsia" w:eastAsiaTheme="minorEastAsia" w:cstheme="minorEastAsia"/>
          <w:color w:val="auto"/>
          <w:spacing w:val="-2"/>
          <w:szCs w:val="21"/>
        </w:rPr>
        <w:t>的规定，向采购人提交履约担保。联合体成交的，履约担保由联合体各方或联合体中牵头人的名义提交。</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36.4 成交供应商</w:t>
      </w:r>
      <w:r>
        <w:rPr>
          <w:rFonts w:hint="eastAsia" w:asciiTheme="minorEastAsia" w:hAnsiTheme="minorEastAsia" w:eastAsiaTheme="minorEastAsia" w:cstheme="minorEastAsia"/>
          <w:color w:val="auto"/>
          <w:spacing w:val="4"/>
        </w:rPr>
        <w:t>没有按照本章第36.3</w:t>
      </w:r>
      <w:r>
        <w:rPr>
          <w:rFonts w:hint="eastAsia" w:asciiTheme="minorEastAsia" w:hAnsiTheme="minorEastAsia" w:eastAsiaTheme="minorEastAsia" w:cstheme="minorEastAsia"/>
          <w:color w:val="auto"/>
          <w:lang w:val="zh-CN"/>
        </w:rPr>
        <w:t>款</w:t>
      </w:r>
      <w:r>
        <w:rPr>
          <w:rFonts w:hint="eastAsia" w:asciiTheme="minorEastAsia" w:hAnsiTheme="minorEastAsia" w:eastAsiaTheme="minorEastAsia" w:cstheme="minorEastAsia"/>
          <w:color w:val="auto"/>
          <w:spacing w:val="4"/>
        </w:rPr>
        <w:t>规定</w:t>
      </w:r>
      <w:r>
        <w:rPr>
          <w:rFonts w:hint="eastAsia" w:asciiTheme="minorEastAsia" w:hAnsiTheme="minorEastAsia" w:eastAsiaTheme="minorEastAsia" w:cstheme="minorEastAsia"/>
          <w:color w:val="auto"/>
        </w:rPr>
        <w:t>提交履约担保的</w:t>
      </w:r>
      <w:r>
        <w:rPr>
          <w:rFonts w:hint="eastAsia" w:asciiTheme="minorEastAsia" w:hAnsiTheme="minorEastAsia" w:eastAsiaTheme="minorEastAsia" w:cstheme="minorEastAsia"/>
          <w:color w:val="auto"/>
          <w:spacing w:val="4"/>
        </w:rPr>
        <w:t>，视为放弃</w:t>
      </w:r>
      <w:r>
        <w:rPr>
          <w:rFonts w:hint="eastAsia" w:asciiTheme="minorEastAsia" w:hAnsiTheme="minorEastAsia" w:eastAsiaTheme="minorEastAsia" w:cstheme="minorEastAsia"/>
          <w:color w:val="auto"/>
        </w:rPr>
        <w:t>成交资格</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spacing w:val="2"/>
        </w:rPr>
        <w:t>其保证金不予退还。</w:t>
      </w:r>
    </w:p>
    <w:p>
      <w:pPr>
        <w:adjustRightInd w:val="0"/>
        <w:snapToGrid w:val="0"/>
        <w:spacing w:line="440" w:lineRule="exact"/>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37.签订合同</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37.1 磋商文件、成交供应商的响应文件及其补充的响应文件等均为签订采购合同的依据。</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37.2 成交供应商应当在成交通知书发出之日起30日内与采购人签订采购合同。</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37.3 成交供应商应当按照合同约定履行义务。成交供应商不得向他人转让成交项目，也不得将成交项目分包后分别向他人转让。</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37.4 成交供应商有下列情形之一的，责令限期改正，情节严重的，列入不良行为记录名单，在1至3年内禁止参加政府采购活动，并予以通报：</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（一）成交后无正当理由不与采购人签订合同的；</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（二）未按照采购文件确定的事项签订采购合同，或者与采购人另行订立背离合同实质性内容的协议的；</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（三）拒绝履行合同义务的；</w:t>
      </w:r>
    </w:p>
    <w:p>
      <w:pPr>
        <w:pStyle w:val="29"/>
        <w:adjustRightInd w:val="0"/>
        <w:snapToGrid w:val="0"/>
        <w:spacing w:line="44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（四）违反法律、规章、规范性文件规定的。</w:t>
      </w:r>
    </w:p>
    <w:p>
      <w:pPr>
        <w:pStyle w:val="29"/>
        <w:adjustRightInd w:val="0"/>
        <w:snapToGrid w:val="0"/>
        <w:spacing w:line="440" w:lineRule="exact"/>
        <w:jc w:val="left"/>
        <w:outlineLvl w:val="1"/>
        <w:rPr>
          <w:rFonts w:hint="eastAsia" w:asciiTheme="minorEastAsia" w:hAnsiTheme="minorEastAsia" w:eastAsiaTheme="minorEastAsia" w:cstheme="minorEastAsia"/>
          <w:b/>
          <w:color w:val="auto"/>
          <w:sz w:val="24"/>
          <w:szCs w:val="24"/>
        </w:rPr>
      </w:pPr>
      <w:bookmarkStart w:id="12" w:name="_Toc26698"/>
      <w:r>
        <w:rPr>
          <w:rFonts w:hint="eastAsia" w:asciiTheme="minorEastAsia" w:hAnsiTheme="minorEastAsia" w:eastAsiaTheme="minorEastAsia" w:cstheme="minorEastAsia"/>
          <w:b/>
          <w:color w:val="auto"/>
          <w:sz w:val="24"/>
          <w:szCs w:val="24"/>
        </w:rPr>
        <w:t>七、其他规定</w:t>
      </w:r>
      <w:bookmarkEnd w:id="12"/>
    </w:p>
    <w:p>
      <w:pPr>
        <w:adjustRightInd w:val="0"/>
        <w:snapToGrid w:val="0"/>
        <w:spacing w:line="440" w:lineRule="exact"/>
        <w:jc w:val="lef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38.采购代理服务费</w:t>
      </w:r>
    </w:p>
    <w:p>
      <w:pPr>
        <w:tabs>
          <w:tab w:val="left" w:pos="420"/>
          <w:tab w:val="left" w:pos="7560"/>
          <w:tab w:val="left" w:pos="7740"/>
          <w:tab w:val="left" w:pos="7920"/>
        </w:tabs>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38.1采购代理机构应按</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规定收取采购代理服务费。</w:t>
      </w:r>
    </w:p>
    <w:p>
      <w:pPr>
        <w:tabs>
          <w:tab w:val="left" w:pos="420"/>
          <w:tab w:val="left" w:pos="7560"/>
          <w:tab w:val="left" w:pos="7740"/>
          <w:tab w:val="left" w:pos="7920"/>
        </w:tabs>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38.2集中采购机构不得收取采购代理服务费。</w:t>
      </w:r>
    </w:p>
    <w:p>
      <w:pPr>
        <w:tabs>
          <w:tab w:val="left" w:pos="420"/>
          <w:tab w:val="left" w:pos="7560"/>
          <w:tab w:val="left" w:pos="7740"/>
          <w:tab w:val="left" w:pos="7920"/>
        </w:tabs>
        <w:adjustRightInd w:val="0"/>
        <w:snapToGrid w:val="0"/>
        <w:spacing w:line="440" w:lineRule="exac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Cs w:val="21"/>
        </w:rPr>
        <w:t>39.</w:t>
      </w:r>
      <w:r>
        <w:rPr>
          <w:rFonts w:hint="eastAsia" w:asciiTheme="minorEastAsia" w:hAnsiTheme="minorEastAsia" w:eastAsiaTheme="minorEastAsia" w:cstheme="minorEastAsia"/>
          <w:b/>
          <w:color w:val="auto"/>
        </w:rPr>
        <w:t xml:space="preserve"> 其他规定</w:t>
      </w:r>
    </w:p>
    <w:p>
      <w:pPr>
        <w:tabs>
          <w:tab w:val="left" w:pos="420"/>
          <w:tab w:val="left" w:pos="7560"/>
          <w:tab w:val="left" w:pos="7740"/>
          <w:tab w:val="left" w:pos="7920"/>
        </w:tabs>
        <w:adjustRightInd w:val="0"/>
        <w:snapToGrid w:val="0"/>
        <w:spacing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39.1</w:t>
      </w:r>
      <w:r>
        <w:rPr>
          <w:rFonts w:hint="eastAsia" w:asciiTheme="minorEastAsia" w:hAnsiTheme="minorEastAsia" w:eastAsiaTheme="minorEastAsia" w:cstheme="minorEastAsia"/>
          <w:color w:val="auto"/>
          <w:szCs w:val="21"/>
        </w:rPr>
        <w:t>磋商文件</w:t>
      </w:r>
      <w:r>
        <w:rPr>
          <w:rFonts w:hint="eastAsia" w:asciiTheme="minorEastAsia" w:hAnsiTheme="minorEastAsia" w:eastAsiaTheme="minorEastAsia" w:cstheme="minorEastAsia"/>
          <w:color w:val="auto"/>
        </w:rPr>
        <w:t>的其他规定</w:t>
      </w:r>
      <w:r>
        <w:rPr>
          <w:rFonts w:hint="eastAsia" w:asciiTheme="minorEastAsia" w:hAnsiTheme="minorEastAsia" w:eastAsiaTheme="minorEastAsia" w:cstheme="minorEastAsia"/>
          <w:color w:val="auto"/>
          <w:szCs w:val="21"/>
        </w:rPr>
        <w:t>见</w:t>
      </w:r>
      <w:r>
        <w:rPr>
          <w:rFonts w:hint="eastAsia" w:asciiTheme="minorEastAsia" w:hAnsiTheme="minorEastAsia" w:eastAsiaTheme="minorEastAsia" w:cstheme="minorEastAsia"/>
          <w:b/>
          <w:color w:val="auto"/>
          <w:szCs w:val="21"/>
        </w:rPr>
        <w:t>磋商须知前附表</w:t>
      </w:r>
      <w:r>
        <w:rPr>
          <w:rFonts w:hint="eastAsia" w:asciiTheme="minorEastAsia" w:hAnsiTheme="minorEastAsia" w:eastAsiaTheme="minorEastAsia" w:cstheme="minorEastAsia"/>
          <w:color w:val="auto"/>
          <w:szCs w:val="21"/>
        </w:rPr>
        <w:t>。</w:t>
      </w:r>
    </w:p>
    <w:p>
      <w:pPr>
        <w:adjustRightInd w:val="0"/>
        <w:snapToGrid w:val="0"/>
        <w:spacing w:beforeLines="50"/>
        <w:rPr>
          <w:rFonts w:hint="eastAsia" w:asciiTheme="minorEastAsia" w:hAnsiTheme="minorEastAsia" w:eastAsiaTheme="minorEastAsia" w:cstheme="minorEastAsia"/>
          <w:color w:val="auto"/>
          <w:szCs w:val="21"/>
        </w:rPr>
      </w:pPr>
    </w:p>
    <w:p>
      <w:pPr>
        <w:adjustRightInd w:val="0"/>
        <w:snapToGrid w:val="0"/>
        <w:spacing w:beforeLines="50"/>
        <w:rPr>
          <w:rFonts w:hint="eastAsia" w:asciiTheme="minorEastAsia" w:hAnsiTheme="minorEastAsia" w:eastAsiaTheme="minorEastAsia" w:cstheme="minorEastAsia"/>
          <w:color w:val="auto"/>
          <w:szCs w:val="21"/>
        </w:rPr>
      </w:pPr>
    </w:p>
    <w:p>
      <w:pPr>
        <w:widowControl/>
        <w:spacing w:line="240" w:lineRule="auto"/>
        <w:jc w:val="left"/>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p>
    <w:p>
      <w:pPr>
        <w:adjustRightInd w:val="0"/>
        <w:snapToGrid w:val="0"/>
        <w:spacing w:beforeLines="50"/>
        <w:jc w:val="center"/>
        <w:outlineLvl w:val="0"/>
        <w:rPr>
          <w:rFonts w:hint="eastAsia" w:asciiTheme="minorEastAsia" w:hAnsiTheme="minorEastAsia" w:eastAsiaTheme="minorEastAsia" w:cstheme="minorEastAsia"/>
          <w:b/>
          <w:bCs/>
          <w:color w:val="auto"/>
          <w:sz w:val="32"/>
          <w:szCs w:val="32"/>
        </w:rPr>
      </w:pPr>
      <w:bookmarkStart w:id="13" w:name="_Toc5217"/>
      <w:r>
        <w:rPr>
          <w:rFonts w:hint="eastAsia" w:asciiTheme="minorEastAsia" w:hAnsiTheme="minorEastAsia" w:eastAsiaTheme="minorEastAsia" w:cstheme="minorEastAsia"/>
          <w:b/>
          <w:bCs/>
          <w:color w:val="auto"/>
          <w:sz w:val="32"/>
          <w:szCs w:val="32"/>
        </w:rPr>
        <w:t>第三章 评审办法及标准</w:t>
      </w:r>
      <w:bookmarkEnd w:id="13"/>
    </w:p>
    <w:p>
      <w:pPr>
        <w:adjustRightInd w:val="0"/>
        <w:snapToGrid w:val="0"/>
        <w:spacing w:beforeLines="5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1.磋商小组</w:t>
      </w:r>
    </w:p>
    <w:p>
      <w:pPr>
        <w:adjustRightInd w:val="0"/>
        <w:snapToGrid w:val="0"/>
        <w:spacing w:beforeLines="5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1.1评审由依法组成的磋商小组负责。</w:t>
      </w:r>
    </w:p>
    <w:p>
      <w:pPr>
        <w:adjustRightInd w:val="0"/>
        <w:snapToGrid w:val="0"/>
        <w:spacing w:beforeLines="5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color w:val="auto"/>
          <w:szCs w:val="21"/>
        </w:rPr>
        <w:t>评审方法</w:t>
      </w:r>
    </w:p>
    <w:p>
      <w:pPr>
        <w:tabs>
          <w:tab w:val="left" w:pos="0"/>
        </w:tabs>
        <w:adjustRightInd w:val="0"/>
        <w:snapToGrid w:val="0"/>
        <w:spacing w:beforeLines="5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2.1评审方法：综合评分法，即响应文件能够最大限度的满足磋商文件规定的各项综合评价标准且经评审得分最高的供应商为成交供应商的评标方法。</w:t>
      </w:r>
    </w:p>
    <w:p>
      <w:pPr>
        <w:tabs>
          <w:tab w:val="left" w:pos="0"/>
        </w:tabs>
        <w:adjustRightInd w:val="0"/>
        <w:snapToGrid w:val="0"/>
        <w:spacing w:beforeLines="5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2.2本采购项目</w:t>
      </w:r>
      <w:r>
        <w:rPr>
          <w:rFonts w:hint="eastAsia" w:asciiTheme="minorEastAsia" w:hAnsiTheme="minorEastAsia" w:eastAsiaTheme="minorEastAsia" w:cstheme="minorEastAsia"/>
          <w:color w:val="auto"/>
          <w:szCs w:val="21"/>
        </w:rPr>
        <w:t>的评审因素和标准见</w:t>
      </w:r>
      <w:r>
        <w:rPr>
          <w:rFonts w:hint="eastAsia" w:asciiTheme="minorEastAsia" w:hAnsiTheme="minorEastAsia" w:eastAsiaTheme="minorEastAsia" w:cstheme="minorEastAsia"/>
          <w:b/>
          <w:color w:val="auto"/>
          <w:szCs w:val="21"/>
        </w:rPr>
        <w:t>磋商文件前附表，</w:t>
      </w:r>
      <w:r>
        <w:rPr>
          <w:rFonts w:hint="eastAsia" w:asciiTheme="minorEastAsia" w:hAnsiTheme="minorEastAsia" w:eastAsiaTheme="minorEastAsia" w:cstheme="minorEastAsia"/>
          <w:color w:val="auto"/>
          <w:szCs w:val="21"/>
        </w:rPr>
        <w:t>不得对响应文件优于磋商文件要求的评审因素给予加分。</w:t>
      </w:r>
    </w:p>
    <w:p>
      <w:pPr>
        <w:tabs>
          <w:tab w:val="left" w:pos="0"/>
        </w:tabs>
        <w:adjustRightInd w:val="0"/>
        <w:snapToGrid w:val="0"/>
        <w:spacing w:beforeLines="5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评审因素：价格、技术、财务状况、信誉、业绩、服务、对磋商文件的响应程度，以及相应的比重或者权值等，但不包括第二章“磋商须知”第3.1</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color w:val="auto"/>
          <w:szCs w:val="21"/>
        </w:rPr>
        <w:t>规定的供应商资格条件。</w:t>
      </w:r>
    </w:p>
    <w:p>
      <w:pPr>
        <w:tabs>
          <w:tab w:val="left" w:pos="0"/>
        </w:tabs>
        <w:adjustRightInd w:val="0"/>
        <w:snapToGrid w:val="0"/>
        <w:spacing w:beforeLines="5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2.3</w:t>
      </w:r>
      <w:r>
        <w:rPr>
          <w:rFonts w:hint="eastAsia" w:asciiTheme="minorEastAsia" w:hAnsiTheme="minorEastAsia" w:eastAsiaTheme="minorEastAsia" w:cstheme="minorEastAsia"/>
          <w:color w:val="auto"/>
          <w:szCs w:val="21"/>
        </w:rPr>
        <w:t>权值的取值范围见下表，本采购项目的权值见</w:t>
      </w:r>
      <w:r>
        <w:rPr>
          <w:rFonts w:hint="eastAsia" w:asciiTheme="minorEastAsia" w:hAnsiTheme="minorEastAsia" w:eastAsiaTheme="minorEastAsia" w:cstheme="minorEastAsia"/>
          <w:b/>
          <w:color w:val="auto"/>
          <w:szCs w:val="21"/>
        </w:rPr>
        <w:t>磋商文件前附表。</w:t>
      </w:r>
    </w:p>
    <w:tbl>
      <w:tblPr>
        <w:tblStyle w:val="64"/>
        <w:tblW w:w="88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20" w:type="dxa"/>
            <w:tcBorders>
              <w:top w:val="single" w:color="auto" w:sz="12" w:space="0"/>
            </w:tcBorders>
            <w:vAlign w:val="center"/>
          </w:tcPr>
          <w:p>
            <w:pPr>
              <w:adjustRightInd w:val="0"/>
              <w:snapToGrid w:val="0"/>
              <w:jc w:val="center"/>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序号</w:t>
            </w:r>
          </w:p>
        </w:tc>
        <w:tc>
          <w:tcPr>
            <w:tcW w:w="4680" w:type="dxa"/>
            <w:tcBorders>
              <w:top w:val="single" w:color="auto" w:sz="12" w:space="0"/>
            </w:tcBorders>
            <w:vAlign w:val="center"/>
          </w:tcPr>
          <w:p>
            <w:pPr>
              <w:adjustRightInd w:val="0"/>
              <w:snapToGrid w:val="0"/>
              <w:jc w:val="center"/>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项     目</w:t>
            </w:r>
          </w:p>
        </w:tc>
        <w:tc>
          <w:tcPr>
            <w:tcW w:w="3420" w:type="dxa"/>
            <w:tcBorders>
              <w:top w:val="single" w:color="auto" w:sz="12" w:space="0"/>
            </w:tcBorders>
            <w:vAlign w:val="center"/>
          </w:tcPr>
          <w:p>
            <w:pPr>
              <w:adjustRightInd w:val="0"/>
              <w:snapToGrid w:val="0"/>
              <w:jc w:val="center"/>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720" w:type="dxa"/>
            <w:vAlign w:val="center"/>
          </w:tcPr>
          <w:p>
            <w:pPr>
              <w:adjustRightInd w:val="0"/>
              <w:snapToGrid w:val="0"/>
              <w:jc w:val="center"/>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1</w:t>
            </w:r>
          </w:p>
        </w:tc>
        <w:tc>
          <w:tcPr>
            <w:tcW w:w="4680" w:type="dxa"/>
            <w:vAlign w:val="center"/>
          </w:tcPr>
          <w:p>
            <w:pPr>
              <w:adjustRightInd w:val="0"/>
              <w:snapToGrid w:val="0"/>
              <w:jc w:val="both"/>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价格</w:t>
            </w:r>
          </w:p>
        </w:tc>
        <w:tc>
          <w:tcPr>
            <w:tcW w:w="3420" w:type="dxa"/>
            <w:vAlign w:val="center"/>
          </w:tcPr>
          <w:p>
            <w:pPr>
              <w:adjustRightInd w:val="0"/>
              <w:snapToGrid w:val="0"/>
              <w:jc w:val="both"/>
              <w:rPr>
                <w:rFonts w:hint="eastAsia" w:asciiTheme="minorEastAsia" w:hAnsiTheme="minorEastAsia" w:eastAsiaTheme="minorEastAsia" w:cstheme="minorEastAsia"/>
                <w:color w:val="auto"/>
                <w:kern w:val="0"/>
                <w:sz w:val="20"/>
                <w:szCs w:val="21"/>
                <w:lang w:val="en-US"/>
              </w:rPr>
            </w:pPr>
            <w:r>
              <w:rPr>
                <w:rFonts w:hint="eastAsia" w:asciiTheme="minorEastAsia" w:hAnsiTheme="minorEastAsia" w:eastAsiaTheme="minorEastAsia" w:cstheme="minorEastAsia"/>
                <w:color w:val="auto"/>
                <w:kern w:val="0"/>
                <w:sz w:val="20"/>
                <w:szCs w:val="21"/>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20" w:type="dxa"/>
            <w:vAlign w:val="center"/>
          </w:tcPr>
          <w:p>
            <w:pPr>
              <w:adjustRightInd w:val="0"/>
              <w:snapToGrid w:val="0"/>
              <w:jc w:val="center"/>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2</w:t>
            </w:r>
          </w:p>
        </w:tc>
        <w:tc>
          <w:tcPr>
            <w:tcW w:w="4680" w:type="dxa"/>
            <w:vAlign w:val="center"/>
          </w:tcPr>
          <w:p>
            <w:pPr>
              <w:adjustRightInd w:val="0"/>
              <w:snapToGrid w:val="0"/>
              <w:jc w:val="both"/>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技术</w:t>
            </w:r>
          </w:p>
        </w:tc>
        <w:tc>
          <w:tcPr>
            <w:tcW w:w="3420" w:type="dxa"/>
            <w:vAlign w:val="center"/>
          </w:tcPr>
          <w:p>
            <w:pPr>
              <w:adjustRightInd w:val="0"/>
              <w:snapToGrid w:val="0"/>
              <w:jc w:val="both"/>
              <w:rPr>
                <w:rFonts w:hint="eastAsia" w:asciiTheme="minorEastAsia" w:hAnsiTheme="minorEastAsia" w:eastAsiaTheme="minorEastAsia" w:cstheme="minorEastAsia"/>
                <w:color w:val="auto"/>
                <w:kern w:val="0"/>
                <w:sz w:val="20"/>
                <w:szCs w:val="21"/>
                <w:lang w:val="en-US" w:eastAsia="zh-CN"/>
              </w:rPr>
            </w:pPr>
            <w:r>
              <w:rPr>
                <w:rFonts w:hint="eastAsia" w:asciiTheme="minorEastAsia" w:hAnsiTheme="minorEastAsia" w:eastAsiaTheme="minorEastAsia" w:cstheme="minorEastAsia"/>
                <w:color w:val="auto"/>
                <w:kern w:val="0"/>
                <w:sz w:val="20"/>
                <w:szCs w:val="21"/>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20" w:type="dxa"/>
            <w:vAlign w:val="center"/>
          </w:tcPr>
          <w:p>
            <w:pPr>
              <w:adjustRightInd w:val="0"/>
              <w:snapToGrid w:val="0"/>
              <w:jc w:val="center"/>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3</w:t>
            </w:r>
          </w:p>
        </w:tc>
        <w:tc>
          <w:tcPr>
            <w:tcW w:w="4680" w:type="dxa"/>
            <w:vAlign w:val="center"/>
          </w:tcPr>
          <w:p>
            <w:pPr>
              <w:adjustRightInd w:val="0"/>
              <w:snapToGrid w:val="0"/>
              <w:jc w:val="both"/>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商务</w:t>
            </w:r>
          </w:p>
        </w:tc>
        <w:tc>
          <w:tcPr>
            <w:tcW w:w="3420" w:type="dxa"/>
            <w:vAlign w:val="center"/>
          </w:tcPr>
          <w:p>
            <w:pPr>
              <w:adjustRightInd w:val="0"/>
              <w:snapToGrid w:val="0"/>
              <w:jc w:val="both"/>
              <w:rPr>
                <w:rFonts w:hint="eastAsia" w:asciiTheme="minorEastAsia" w:hAnsiTheme="minorEastAsia" w:eastAsiaTheme="minorEastAsia" w:cstheme="minorEastAsia"/>
                <w:color w:val="auto"/>
                <w:kern w:val="0"/>
                <w:sz w:val="20"/>
                <w:szCs w:val="21"/>
                <w:lang w:val="en-US" w:eastAsia="zh-CN"/>
              </w:rPr>
            </w:pPr>
            <w:r>
              <w:rPr>
                <w:rFonts w:hint="eastAsia" w:asciiTheme="minorEastAsia" w:hAnsiTheme="minorEastAsia" w:eastAsiaTheme="minorEastAsia" w:cstheme="minorEastAsia"/>
                <w:color w:val="auto"/>
                <w:kern w:val="0"/>
                <w:sz w:val="20"/>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5400" w:type="dxa"/>
            <w:gridSpan w:val="2"/>
            <w:tcBorders>
              <w:bottom w:val="single" w:color="auto" w:sz="12" w:space="0"/>
            </w:tcBorders>
          </w:tcPr>
          <w:p>
            <w:pPr>
              <w:adjustRightInd w:val="0"/>
              <w:snapToGrid w:val="0"/>
              <w:jc w:val="center"/>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∑(1+2+3)=100</w:t>
            </w:r>
          </w:p>
        </w:tc>
        <w:tc>
          <w:tcPr>
            <w:tcW w:w="3420" w:type="dxa"/>
            <w:tcBorders>
              <w:bottom w:val="single" w:color="auto" w:sz="12" w:space="0"/>
            </w:tcBorders>
            <w:vAlign w:val="center"/>
          </w:tcPr>
          <w:p>
            <w:pPr>
              <w:adjustRightInd w:val="0"/>
              <w:snapToGrid w:val="0"/>
              <w:jc w:val="center"/>
              <w:rPr>
                <w:rFonts w:hint="eastAsia" w:asciiTheme="minorEastAsia" w:hAnsiTheme="minorEastAsia" w:eastAsiaTheme="minorEastAsia" w:cstheme="minorEastAsia"/>
                <w:color w:val="auto"/>
                <w:kern w:val="0"/>
                <w:sz w:val="20"/>
                <w:szCs w:val="21"/>
              </w:rPr>
            </w:pPr>
            <w:r>
              <w:rPr>
                <w:rFonts w:hint="eastAsia" w:asciiTheme="minorEastAsia" w:hAnsiTheme="minorEastAsia" w:eastAsiaTheme="minorEastAsia" w:cstheme="minorEastAsia"/>
                <w:color w:val="auto"/>
                <w:kern w:val="0"/>
                <w:sz w:val="20"/>
                <w:szCs w:val="21"/>
              </w:rPr>
              <w:t>100</w:t>
            </w:r>
          </w:p>
        </w:tc>
      </w:tr>
    </w:tbl>
    <w:p>
      <w:pPr>
        <w:tabs>
          <w:tab w:val="left" w:pos="0"/>
        </w:tabs>
        <w:adjustRightInd w:val="0"/>
        <w:snapToGrid w:val="0"/>
        <w:spacing w:beforeLines="5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3.比较与评价</w:t>
      </w:r>
    </w:p>
    <w:p>
      <w:pPr>
        <w:tabs>
          <w:tab w:val="left" w:pos="0"/>
        </w:tabs>
        <w:adjustRightInd w:val="0"/>
        <w:snapToGrid w:val="0"/>
        <w:spacing w:beforeLines="50"/>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3.1磋商小组应按照磋商文件中规定的评审方法、</w:t>
      </w:r>
      <w:r>
        <w:rPr>
          <w:rFonts w:hint="eastAsia" w:asciiTheme="minorEastAsia" w:hAnsiTheme="minorEastAsia" w:eastAsiaTheme="minorEastAsia" w:cstheme="minorEastAsia"/>
          <w:color w:val="auto"/>
          <w:szCs w:val="21"/>
        </w:rPr>
        <w:t>标准和评标因素，</w:t>
      </w:r>
      <w:r>
        <w:rPr>
          <w:rFonts w:hint="eastAsia" w:asciiTheme="minorEastAsia" w:hAnsiTheme="minorEastAsia" w:eastAsiaTheme="minorEastAsia" w:cstheme="minorEastAsia"/>
          <w:bCs/>
          <w:color w:val="auto"/>
          <w:szCs w:val="21"/>
        </w:rPr>
        <w:t>对</w:t>
      </w:r>
      <w:r>
        <w:rPr>
          <w:rFonts w:hint="eastAsia" w:asciiTheme="minorEastAsia" w:hAnsiTheme="minorEastAsia" w:eastAsiaTheme="minorEastAsia" w:cstheme="minorEastAsia"/>
          <w:color w:val="auto"/>
          <w:szCs w:val="21"/>
        </w:rPr>
        <w:t>资格性检查和符合性检查</w:t>
      </w:r>
      <w:r>
        <w:rPr>
          <w:rFonts w:hint="eastAsia" w:asciiTheme="minorEastAsia" w:hAnsiTheme="minorEastAsia" w:eastAsiaTheme="minorEastAsia" w:cstheme="minorEastAsia"/>
          <w:bCs/>
          <w:color w:val="auto"/>
          <w:szCs w:val="21"/>
        </w:rPr>
        <w:t>合格的响应文件进行评估，综合比较与评价。</w:t>
      </w:r>
    </w:p>
    <w:p>
      <w:pPr>
        <w:widowControl/>
        <w:adjustRightInd w:val="0"/>
        <w:snapToGrid w:val="0"/>
        <w:spacing w:beforeLines="5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3.2</w:t>
      </w:r>
      <w:r>
        <w:rPr>
          <w:rFonts w:hint="eastAsia" w:asciiTheme="minorEastAsia" w:hAnsiTheme="minorEastAsia" w:eastAsiaTheme="minorEastAsia" w:cstheme="minorEastAsia"/>
          <w:color w:val="auto"/>
          <w:kern w:val="0"/>
          <w:szCs w:val="21"/>
        </w:rPr>
        <w:t>价格分采用低价优先法计算，即满足磋商文件要求且最终报价最低的价格为评审基准价，其价格分为满分，其他</w:t>
      </w:r>
      <w:r>
        <w:rPr>
          <w:rFonts w:hint="eastAsia" w:asciiTheme="minorEastAsia" w:hAnsiTheme="minorEastAsia" w:eastAsiaTheme="minorEastAsia" w:cstheme="minorEastAsia"/>
          <w:color w:val="auto"/>
          <w:szCs w:val="21"/>
        </w:rPr>
        <w:t>有效</w:t>
      </w:r>
      <w:r>
        <w:rPr>
          <w:rFonts w:hint="eastAsia" w:asciiTheme="minorEastAsia" w:hAnsiTheme="minorEastAsia" w:eastAsiaTheme="minorEastAsia" w:cstheme="minorEastAsia"/>
          <w:color w:val="auto"/>
          <w:kern w:val="0"/>
          <w:szCs w:val="21"/>
        </w:rPr>
        <w:t>供应商的价格分按照下列公式计算：</w:t>
      </w:r>
    </w:p>
    <w:p>
      <w:pPr>
        <w:widowControl/>
        <w:adjustRightInd w:val="0"/>
        <w:snapToGrid w:val="0"/>
        <w:spacing w:beforeLines="5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最终报价得分=(评审基准价／最终报价)×价格权值×100</w:t>
      </w:r>
    </w:p>
    <w:p>
      <w:pPr>
        <w:widowControl/>
        <w:adjustRightInd w:val="0"/>
        <w:snapToGrid w:val="0"/>
        <w:spacing w:beforeLines="5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本项所称最终报价为按</w:t>
      </w:r>
      <w:r>
        <w:rPr>
          <w:rFonts w:hint="eastAsia" w:asciiTheme="minorEastAsia" w:hAnsiTheme="minorEastAsia" w:eastAsiaTheme="minorEastAsia" w:cstheme="minorEastAsia"/>
          <w:bCs/>
          <w:color w:val="auto"/>
          <w:szCs w:val="21"/>
        </w:rPr>
        <w:t>本章第3.2</w:t>
      </w:r>
      <w:r>
        <w:rPr>
          <w:rFonts w:hint="eastAsia" w:asciiTheme="minorEastAsia" w:hAnsiTheme="minorEastAsia" w:eastAsiaTheme="minorEastAsia" w:cstheme="minorEastAsia"/>
          <w:color w:val="auto"/>
          <w:kern w:val="0"/>
          <w:szCs w:val="21"/>
          <w:lang w:val="zh-CN"/>
        </w:rPr>
        <w:t>款</w:t>
      </w:r>
      <w:r>
        <w:rPr>
          <w:rFonts w:hint="eastAsia" w:asciiTheme="minorEastAsia" w:hAnsiTheme="minorEastAsia" w:eastAsiaTheme="minorEastAsia" w:cstheme="minorEastAsia"/>
          <w:bCs/>
          <w:color w:val="auto"/>
          <w:szCs w:val="21"/>
        </w:rPr>
        <w:t>规定</w:t>
      </w:r>
      <w:r>
        <w:rPr>
          <w:rFonts w:hint="eastAsia" w:asciiTheme="minorEastAsia" w:hAnsiTheme="minorEastAsia" w:eastAsiaTheme="minorEastAsia" w:cstheme="minorEastAsia"/>
          <w:color w:val="auto"/>
          <w:szCs w:val="21"/>
        </w:rPr>
        <w:t>价值扣除后的最终报价。</w:t>
      </w:r>
    </w:p>
    <w:p>
      <w:pPr>
        <w:widowControl/>
        <w:adjustRightInd w:val="0"/>
        <w:snapToGrid w:val="0"/>
        <w:spacing w:beforeLines="50" w:line="440" w:lineRule="exact"/>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3.3</w:t>
      </w:r>
      <w:r>
        <w:rPr>
          <w:rFonts w:hint="eastAsia" w:asciiTheme="minorEastAsia" w:hAnsiTheme="minorEastAsia" w:eastAsiaTheme="minorEastAsia" w:cstheme="minorEastAsia"/>
          <w:color w:val="auto"/>
          <w:szCs w:val="21"/>
        </w:rPr>
        <w:t>评审时，磋商小组各成员应当独立对每个供应商的</w:t>
      </w:r>
      <w:r>
        <w:rPr>
          <w:rFonts w:hint="eastAsia" w:asciiTheme="minorEastAsia" w:hAnsiTheme="minorEastAsia" w:eastAsiaTheme="minorEastAsia" w:cstheme="minorEastAsia"/>
          <w:bCs/>
          <w:color w:val="auto"/>
          <w:szCs w:val="21"/>
        </w:rPr>
        <w:t>响应文件</w:t>
      </w:r>
      <w:r>
        <w:rPr>
          <w:rFonts w:hint="eastAsia" w:asciiTheme="minorEastAsia" w:hAnsiTheme="minorEastAsia" w:eastAsiaTheme="minorEastAsia" w:cstheme="minorEastAsia"/>
          <w:color w:val="auto"/>
          <w:szCs w:val="21"/>
        </w:rPr>
        <w:t>进行评价、评分，然后汇总每个供应商项评分因素的得分。</w:t>
      </w:r>
    </w:p>
    <w:p>
      <w:pPr>
        <w:widowControl/>
        <w:adjustRightInd w:val="0"/>
        <w:snapToGrid w:val="0"/>
        <w:spacing w:beforeLines="50"/>
        <w:ind w:firstLine="420" w:firstLineChars="200"/>
        <w:jc w:val="left"/>
        <w:rPr>
          <w:rFonts w:hint="eastAsia" w:asciiTheme="minorEastAsia" w:hAnsiTheme="minorEastAsia" w:eastAsiaTheme="minorEastAsia" w:cstheme="minorEastAsia"/>
          <w:color w:val="auto"/>
          <w:szCs w:val="21"/>
        </w:rPr>
      </w:pPr>
    </w:p>
    <w:p>
      <w:pPr>
        <w:widowControl/>
        <w:adjustRightInd w:val="0"/>
        <w:snapToGrid w:val="0"/>
        <w:spacing w:beforeLines="50"/>
        <w:ind w:firstLine="420" w:firstLineChars="200"/>
        <w:jc w:val="left"/>
        <w:rPr>
          <w:rFonts w:hint="eastAsia" w:asciiTheme="minorEastAsia" w:hAnsiTheme="minorEastAsia" w:eastAsiaTheme="minorEastAsia" w:cstheme="minorEastAsia"/>
          <w:color w:val="auto"/>
          <w:szCs w:val="21"/>
        </w:rPr>
      </w:pPr>
    </w:p>
    <w:p>
      <w:pPr>
        <w:widowControl/>
        <w:adjustRightInd w:val="0"/>
        <w:snapToGrid w:val="0"/>
        <w:spacing w:beforeLines="5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3.4评分细则  </w:t>
      </w:r>
    </w:p>
    <w:tbl>
      <w:tblPr>
        <w:tblStyle w:val="64"/>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982"/>
        <w:gridCol w:w="900"/>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9331" w:type="dxa"/>
            <w:gridSpan w:val="4"/>
            <w:vAlign w:val="center"/>
          </w:tcPr>
          <w:p>
            <w:pPr>
              <w:adjustRightInd w:val="0"/>
              <w:snapToGrid w:val="0"/>
              <w:ind w:right="28"/>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066" w:type="dxa"/>
            <w:vAlign w:val="center"/>
          </w:tcPr>
          <w:p>
            <w:pPr>
              <w:adjustRightInd w:val="0"/>
              <w:snapToGrid w:val="0"/>
              <w:spacing w:line="36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评审因素</w:t>
            </w:r>
          </w:p>
        </w:tc>
        <w:tc>
          <w:tcPr>
            <w:tcW w:w="1982" w:type="dxa"/>
            <w:vAlign w:val="center"/>
          </w:tcPr>
          <w:p>
            <w:pPr>
              <w:adjustRightInd w:val="0"/>
              <w:snapToGrid w:val="0"/>
              <w:spacing w:line="36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计分因素</w:t>
            </w:r>
          </w:p>
        </w:tc>
        <w:tc>
          <w:tcPr>
            <w:tcW w:w="900" w:type="dxa"/>
            <w:vAlign w:val="center"/>
          </w:tcPr>
          <w:p>
            <w:pPr>
              <w:adjustRightInd w:val="0"/>
              <w:snapToGrid w:val="0"/>
              <w:spacing w:line="360" w:lineRule="exact"/>
              <w:ind w:firstLine="105" w:firstLineChars="5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分值</w:t>
            </w:r>
          </w:p>
        </w:tc>
        <w:tc>
          <w:tcPr>
            <w:tcW w:w="5383" w:type="dxa"/>
            <w:vAlign w:val="center"/>
          </w:tcPr>
          <w:p>
            <w:pPr>
              <w:adjustRightInd w:val="0"/>
              <w:snapToGrid w:val="0"/>
              <w:spacing w:line="36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6"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报价</w:t>
            </w:r>
          </w:p>
          <w:p>
            <w:pPr>
              <w:pStyle w:val="17"/>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w:t>
            </w:r>
            <w:r>
              <w:rPr>
                <w:rFonts w:hint="eastAsia" w:asciiTheme="minorEastAsia" w:hAnsiTheme="minorEastAsia" w:eastAsiaTheme="minorEastAsia" w:cstheme="minorEastAsia"/>
                <w:b/>
                <w:bCs/>
                <w:color w:val="auto"/>
                <w:lang w:val="en-US" w:eastAsia="zh-CN"/>
              </w:rPr>
              <w:t>4</w:t>
            </w:r>
            <w:r>
              <w:rPr>
                <w:rFonts w:hint="eastAsia" w:asciiTheme="minorEastAsia" w:hAnsiTheme="minorEastAsia" w:eastAsiaTheme="minorEastAsia" w:cstheme="minorEastAsia"/>
                <w:b/>
                <w:bCs/>
                <w:color w:val="auto"/>
              </w:rPr>
              <w:t>0分)</w:t>
            </w:r>
          </w:p>
        </w:tc>
        <w:tc>
          <w:tcPr>
            <w:tcW w:w="1982"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投标总报价</w:t>
            </w:r>
          </w:p>
        </w:tc>
        <w:tc>
          <w:tcPr>
            <w:tcW w:w="90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40</w:t>
            </w:r>
          </w:p>
        </w:tc>
        <w:tc>
          <w:tcPr>
            <w:tcW w:w="5383"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投标报价得分＝(评标基准价／投标报价)×40；满足招标文件要求且投标价格最低的投标总报价为基准价。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106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技术部分(</w:t>
            </w:r>
            <w:r>
              <w:rPr>
                <w:rFonts w:hint="eastAsia" w:asciiTheme="minorEastAsia" w:hAnsiTheme="minorEastAsia" w:eastAsiaTheme="minorEastAsia" w:cstheme="minorEastAsia"/>
                <w:b/>
                <w:bCs/>
                <w:color w:val="auto"/>
                <w:lang w:val="en-US" w:eastAsia="zh-CN"/>
              </w:rPr>
              <w:t>45</w:t>
            </w:r>
            <w:r>
              <w:rPr>
                <w:rFonts w:hint="eastAsia" w:asciiTheme="minorEastAsia" w:hAnsiTheme="minorEastAsia" w:eastAsiaTheme="minorEastAsia" w:cstheme="minorEastAsia"/>
                <w:b/>
                <w:bCs/>
                <w:color w:val="auto"/>
              </w:rPr>
              <w:t>分)</w:t>
            </w:r>
          </w:p>
        </w:tc>
        <w:tc>
          <w:tcPr>
            <w:tcW w:w="1982" w:type="dxa"/>
            <w:tcBorders>
              <w:bottom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施工方案与技术措施</w:t>
            </w:r>
          </w:p>
        </w:tc>
        <w:tc>
          <w:tcPr>
            <w:tcW w:w="900" w:type="dxa"/>
            <w:vAlign w:val="center"/>
          </w:tcPr>
          <w:p>
            <w:pPr>
              <w:keepNext w:val="0"/>
              <w:keepLines w:val="0"/>
              <w:pageBreakBefore w:val="0"/>
              <w:kinsoku/>
              <w:wordWrap/>
              <w:overflowPunct/>
              <w:topLinePunct w:val="0"/>
              <w:autoSpaceDE/>
              <w:autoSpaceDN/>
              <w:bidi w:val="0"/>
              <w:adjustRightInd/>
              <w:snapToGrid/>
              <w:spacing w:beforeLines="50" w:line="360" w:lineRule="exact"/>
              <w:jc w:val="center"/>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lang w:val="en-US" w:eastAsia="zh-CN"/>
              </w:rPr>
              <w:t>21</w:t>
            </w:r>
          </w:p>
        </w:tc>
        <w:tc>
          <w:tcPr>
            <w:tcW w:w="5383"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根据投标人针对完成本项目提供的</w:t>
            </w:r>
            <w:r>
              <w:rPr>
                <w:rFonts w:hint="eastAsia" w:asciiTheme="minorEastAsia" w:hAnsiTheme="minorEastAsia" w:eastAsiaTheme="minorEastAsia" w:cstheme="minorEastAsia"/>
                <w:color w:val="auto"/>
                <w:szCs w:val="21"/>
              </w:rPr>
              <w:t>施工方案与技术措施</w:t>
            </w:r>
            <w:r>
              <w:rPr>
                <w:rFonts w:hint="eastAsia" w:asciiTheme="minorEastAsia" w:hAnsiTheme="minorEastAsia" w:eastAsiaTheme="minorEastAsia" w:cstheme="minorEastAsia"/>
                <w:color w:val="auto"/>
                <w:lang w:val="en-US" w:eastAsia="zh-CN"/>
              </w:rPr>
              <w:t>的合理性和科学性分档计分，合理、科学、可行的，计21分；较合理、较科学、较可行的，计12分；有不合理、较难实施的，计6分，未提供的不计分。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06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rPr>
            </w:pPr>
          </w:p>
        </w:tc>
        <w:tc>
          <w:tcPr>
            <w:tcW w:w="198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安全管理体系与措施</w:t>
            </w:r>
          </w:p>
        </w:tc>
        <w:tc>
          <w:tcPr>
            <w:tcW w:w="900" w:type="dxa"/>
            <w:vAlign w:val="center"/>
          </w:tcPr>
          <w:p>
            <w:pPr>
              <w:keepNext w:val="0"/>
              <w:keepLines w:val="0"/>
              <w:pageBreakBefore w:val="0"/>
              <w:kinsoku/>
              <w:wordWrap/>
              <w:overflowPunct/>
              <w:topLinePunct w:val="0"/>
              <w:autoSpaceDE/>
              <w:autoSpaceDN/>
              <w:bidi w:val="0"/>
              <w:adjustRightInd/>
              <w:snapToGrid/>
              <w:spacing w:beforeLines="50" w:line="360" w:lineRule="exact"/>
              <w:jc w:val="center"/>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6</w:t>
            </w:r>
          </w:p>
        </w:tc>
        <w:tc>
          <w:tcPr>
            <w:tcW w:w="5383"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szCs w:val="21"/>
              </w:rPr>
              <w:t>安全管理体系与措施</w:t>
            </w:r>
            <w:r>
              <w:rPr>
                <w:rFonts w:hint="eastAsia" w:asciiTheme="minorEastAsia" w:hAnsiTheme="minorEastAsia" w:eastAsiaTheme="minorEastAsia" w:cstheme="minorEastAsia"/>
                <w:color w:val="auto"/>
                <w:lang w:val="en-US" w:eastAsia="zh-CN"/>
              </w:rPr>
              <w:t>完善的计6分，工作流程安排不完善且不符合项目的计3分，未提供的计0分。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06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rPr>
            </w:pPr>
          </w:p>
        </w:tc>
        <w:tc>
          <w:tcPr>
            <w:tcW w:w="1982"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工程进度计划以及保证措施</w:t>
            </w:r>
          </w:p>
        </w:tc>
        <w:tc>
          <w:tcPr>
            <w:tcW w:w="90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w:t>
            </w:r>
          </w:p>
        </w:tc>
        <w:tc>
          <w:tcPr>
            <w:tcW w:w="5383"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szCs w:val="21"/>
              </w:rPr>
              <w:t>工程进度计划以及保证措施</w:t>
            </w:r>
            <w:r>
              <w:rPr>
                <w:rFonts w:hint="eastAsia" w:asciiTheme="minorEastAsia" w:hAnsiTheme="minorEastAsia" w:eastAsiaTheme="minorEastAsia" w:cstheme="minorEastAsia"/>
                <w:color w:val="auto"/>
                <w:lang w:val="en-US" w:eastAsia="zh-CN"/>
              </w:rPr>
              <w:t>完善的计6分，工作流程安排不完善且不符合项目的计3分，未提供的计0分。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106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rPr>
            </w:pPr>
          </w:p>
        </w:tc>
        <w:tc>
          <w:tcPr>
            <w:tcW w:w="1982"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环境保护管理体系与措施</w:t>
            </w:r>
          </w:p>
        </w:tc>
        <w:tc>
          <w:tcPr>
            <w:tcW w:w="90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w:t>
            </w:r>
          </w:p>
        </w:tc>
        <w:tc>
          <w:tcPr>
            <w:tcW w:w="5383"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szCs w:val="21"/>
              </w:rPr>
              <w:t>环境保护管理体系与措施</w:t>
            </w:r>
            <w:r>
              <w:rPr>
                <w:rFonts w:hint="eastAsia" w:asciiTheme="minorEastAsia" w:hAnsiTheme="minorEastAsia" w:eastAsiaTheme="minorEastAsia" w:cstheme="minorEastAsia"/>
                <w:color w:val="auto"/>
                <w:lang w:val="en-US" w:eastAsia="zh-CN"/>
              </w:rPr>
              <w:t>完善的计6分，工作流程安排不完善且不符合项目的计3分，未提供的计0分。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rPr>
            </w:pPr>
          </w:p>
        </w:tc>
        <w:tc>
          <w:tcPr>
            <w:tcW w:w="198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质量管理体系与措施</w:t>
            </w:r>
          </w:p>
        </w:tc>
        <w:tc>
          <w:tcPr>
            <w:tcW w:w="900" w:type="dxa"/>
            <w:vAlign w:val="center"/>
          </w:tcPr>
          <w:p>
            <w:pPr>
              <w:keepNext w:val="0"/>
              <w:keepLines w:val="0"/>
              <w:pageBreakBefore w:val="0"/>
              <w:kinsoku/>
              <w:wordWrap/>
              <w:overflowPunct/>
              <w:topLinePunct w:val="0"/>
              <w:autoSpaceDE/>
              <w:autoSpaceDN/>
              <w:bidi w:val="0"/>
              <w:adjustRightInd/>
              <w:snapToGrid/>
              <w:spacing w:beforeLines="50" w:line="360" w:lineRule="exact"/>
              <w:jc w:val="center"/>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Cs w:val="21"/>
                <w:lang w:val="en-US" w:eastAsia="zh-CN"/>
              </w:rPr>
              <w:t>6</w:t>
            </w:r>
          </w:p>
        </w:tc>
        <w:tc>
          <w:tcPr>
            <w:tcW w:w="5383"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  根据投标人针对完成本项目的</w:t>
            </w:r>
            <w:r>
              <w:rPr>
                <w:rFonts w:hint="eastAsia" w:asciiTheme="minorEastAsia" w:hAnsiTheme="minorEastAsia" w:eastAsiaTheme="minorEastAsia" w:cstheme="minorEastAsia"/>
                <w:color w:val="auto"/>
                <w:szCs w:val="21"/>
              </w:rPr>
              <w:t>质量管理体系</w:t>
            </w:r>
            <w:r>
              <w:rPr>
                <w:rFonts w:hint="eastAsia" w:asciiTheme="minorEastAsia" w:hAnsiTheme="minorEastAsia" w:eastAsiaTheme="minorEastAsia" w:cstheme="minorEastAsia"/>
                <w:color w:val="auto"/>
                <w:lang w:val="en-US" w:eastAsia="zh-CN"/>
              </w:rPr>
              <w:t>、整体方案优秀的计6分；满足招标文件要求、整体方案良好的计5分；基本满足招标文件要求、整体服务方案一般的计2分；不满足要求的，此项计0分。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1" w:hRule="atLeast"/>
          <w:jc w:val="center"/>
        </w:trPr>
        <w:tc>
          <w:tcPr>
            <w:tcW w:w="106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商务部分(</w:t>
            </w:r>
            <w:r>
              <w:rPr>
                <w:rFonts w:hint="eastAsia" w:asciiTheme="minorEastAsia" w:hAnsiTheme="minorEastAsia" w:eastAsiaTheme="minorEastAsia" w:cstheme="minorEastAsia"/>
                <w:b/>
                <w:bCs/>
                <w:color w:val="auto"/>
                <w:lang w:val="en-US" w:eastAsia="zh-CN"/>
              </w:rPr>
              <w:t>15</w:t>
            </w:r>
            <w:r>
              <w:rPr>
                <w:rFonts w:hint="eastAsia" w:asciiTheme="minorEastAsia" w:hAnsiTheme="minorEastAsia" w:eastAsiaTheme="minorEastAsia" w:cstheme="minorEastAsia"/>
                <w:b/>
                <w:bCs/>
                <w:color w:val="auto"/>
              </w:rPr>
              <w:t>分)</w:t>
            </w:r>
          </w:p>
        </w:tc>
        <w:tc>
          <w:tcPr>
            <w:tcW w:w="1982" w:type="dxa"/>
            <w:vAlign w:val="center"/>
          </w:tcPr>
          <w:p>
            <w:pPr>
              <w:keepNext w:val="0"/>
              <w:keepLines w:val="0"/>
              <w:pageBreakBefore w:val="0"/>
              <w:kinsoku/>
              <w:wordWrap/>
              <w:overflowPunct/>
              <w:topLinePunct w:val="0"/>
              <w:autoSpaceDE/>
              <w:autoSpaceDN/>
              <w:bidi w:val="0"/>
              <w:adjustRightInd/>
              <w:snapToGrid/>
              <w:spacing w:beforeLines="50" w:line="360" w:lineRule="exact"/>
              <w:jc w:val="center"/>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Cs w:val="21"/>
                <w:lang w:eastAsia="zh-CN"/>
              </w:rPr>
              <w:t>类似经验</w:t>
            </w:r>
          </w:p>
        </w:tc>
        <w:tc>
          <w:tcPr>
            <w:tcW w:w="900" w:type="dxa"/>
            <w:vAlign w:val="center"/>
          </w:tcPr>
          <w:p>
            <w:pPr>
              <w:keepNext w:val="0"/>
              <w:keepLines w:val="0"/>
              <w:pageBreakBefore w:val="0"/>
              <w:kinsoku/>
              <w:wordWrap/>
              <w:overflowPunct/>
              <w:topLinePunct w:val="0"/>
              <w:autoSpaceDE/>
              <w:autoSpaceDN/>
              <w:bidi w:val="0"/>
              <w:adjustRightInd/>
              <w:snapToGrid/>
              <w:spacing w:beforeLines="50" w:line="360" w:lineRule="exact"/>
              <w:jc w:val="center"/>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Cs w:val="21"/>
                <w:lang w:val="en-US" w:eastAsia="zh-CN"/>
              </w:rPr>
              <w:t>8</w:t>
            </w:r>
          </w:p>
        </w:tc>
        <w:tc>
          <w:tcPr>
            <w:tcW w:w="5383"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1、据投标人近三年（2016年1月-2018年12月）承担过合同金额在390万元及以上的房屋建筑工程类似业绩计分，每提供一个计2分，最多计8分。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注：类似业绩以合同签订时间为准，提供类似业绩的合同复印件并加盖投标人公章（如发现投标人作假，其投标无效，原件备查）。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06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rPr>
            </w:pPr>
          </w:p>
        </w:tc>
        <w:tc>
          <w:tcPr>
            <w:tcW w:w="1982"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人员结构分配</w:t>
            </w:r>
          </w:p>
        </w:tc>
        <w:tc>
          <w:tcPr>
            <w:tcW w:w="90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7</w:t>
            </w:r>
          </w:p>
        </w:tc>
        <w:tc>
          <w:tcPr>
            <w:tcW w:w="5383"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综合投标人针对本项目提出相关人员的管理水平、配置要求，进行横向对比，优得7分，良得3分，一般得1分。</w:t>
            </w:r>
          </w:p>
        </w:tc>
      </w:tr>
    </w:tbl>
    <w:p>
      <w:pPr>
        <w:adjustRightInd w:val="0"/>
        <w:snapToGrid w:val="0"/>
        <w:spacing w:beforeLines="50" w:line="440" w:lineRule="exact"/>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4.推荐成交候选人名单</w:t>
      </w:r>
    </w:p>
    <w:p>
      <w:pPr>
        <w:adjustRightInd w:val="0"/>
        <w:snapToGrid w:val="0"/>
        <w:spacing w:beforeLines="50" w:line="44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4.1按评审后得分由高到低顺序排列。得分相同的，按最终报价由低到高顺序排列。得分且最终报价相同的，按技术指标优劣顺序排列。</w:t>
      </w:r>
    </w:p>
    <w:p>
      <w:pPr>
        <w:adjustRightInd w:val="0"/>
        <w:snapToGrid w:val="0"/>
        <w:spacing w:beforeLines="50"/>
        <w:jc w:val="center"/>
        <w:rPr>
          <w:rFonts w:hint="eastAsia" w:asciiTheme="minorEastAsia" w:hAnsiTheme="minorEastAsia" w:eastAsiaTheme="minorEastAsia" w:cstheme="minorEastAsia"/>
          <w:color w:val="auto"/>
          <w:szCs w:val="21"/>
        </w:rPr>
      </w:pPr>
    </w:p>
    <w:p>
      <w:pPr>
        <w:adjustRightInd w:val="0"/>
        <w:snapToGrid w:val="0"/>
        <w:spacing w:beforeLines="50"/>
        <w:jc w:val="center"/>
        <w:outlineLvl w:val="0"/>
        <w:rPr>
          <w:rFonts w:hint="eastAsia" w:asciiTheme="minorEastAsia" w:hAnsiTheme="minorEastAsia" w:eastAsiaTheme="minorEastAsia" w:cstheme="minorEastAsia"/>
          <w:color w:val="auto"/>
          <w:szCs w:val="21"/>
        </w:rPr>
      </w:pPr>
    </w:p>
    <w:p>
      <w:pPr>
        <w:adjustRightInd w:val="0"/>
        <w:snapToGrid w:val="0"/>
        <w:spacing w:beforeLines="50"/>
        <w:jc w:val="center"/>
        <w:outlineLvl w:val="0"/>
        <w:rPr>
          <w:rFonts w:hint="eastAsia" w:asciiTheme="minorEastAsia" w:hAnsiTheme="minorEastAsia" w:eastAsiaTheme="minorEastAsia" w:cstheme="minorEastAsia"/>
          <w:b/>
          <w:color w:val="auto"/>
          <w:sz w:val="32"/>
          <w:szCs w:val="32"/>
        </w:rPr>
      </w:pPr>
    </w:p>
    <w:p>
      <w:pPr>
        <w:adjustRightInd w:val="0"/>
        <w:snapToGrid w:val="0"/>
        <w:spacing w:beforeLines="50"/>
        <w:jc w:val="center"/>
        <w:outlineLvl w:val="0"/>
        <w:rPr>
          <w:rFonts w:hint="eastAsia" w:asciiTheme="minorEastAsia" w:hAnsiTheme="minorEastAsia" w:eastAsiaTheme="minorEastAsia" w:cstheme="minorEastAsia"/>
          <w:b/>
          <w:color w:val="auto"/>
          <w:sz w:val="32"/>
          <w:szCs w:val="32"/>
        </w:rPr>
      </w:pPr>
    </w:p>
    <w:p>
      <w:pPr>
        <w:adjustRightInd w:val="0"/>
        <w:snapToGrid w:val="0"/>
        <w:spacing w:beforeLines="50"/>
        <w:jc w:val="center"/>
        <w:outlineLvl w:val="0"/>
        <w:rPr>
          <w:rFonts w:hint="eastAsia" w:asciiTheme="minorEastAsia" w:hAnsiTheme="minorEastAsia" w:eastAsiaTheme="minorEastAsia" w:cstheme="minorEastAsia"/>
          <w:b/>
          <w:bCs/>
          <w:color w:val="auto"/>
          <w:sz w:val="32"/>
          <w:szCs w:val="32"/>
        </w:rPr>
      </w:pPr>
      <w:bookmarkStart w:id="14" w:name="_Toc16439"/>
      <w:r>
        <w:rPr>
          <w:rFonts w:hint="eastAsia" w:asciiTheme="minorEastAsia" w:hAnsiTheme="minorEastAsia" w:eastAsiaTheme="minorEastAsia" w:cstheme="minorEastAsia"/>
          <w:b/>
          <w:color w:val="auto"/>
          <w:sz w:val="32"/>
          <w:szCs w:val="32"/>
        </w:rPr>
        <w:t xml:space="preserve">第四章  </w:t>
      </w:r>
      <w:r>
        <w:rPr>
          <w:rFonts w:hint="eastAsia" w:asciiTheme="minorEastAsia" w:hAnsiTheme="minorEastAsia" w:eastAsiaTheme="minorEastAsia" w:cstheme="minorEastAsia"/>
          <w:b/>
          <w:bCs/>
          <w:color w:val="auto"/>
          <w:sz w:val="32"/>
          <w:szCs w:val="32"/>
        </w:rPr>
        <w:t>采购合同格式</w:t>
      </w:r>
      <w:bookmarkEnd w:id="14"/>
    </w:p>
    <w:p>
      <w:pPr>
        <w:spacing w:line="360" w:lineRule="exact"/>
        <w:jc w:val="center"/>
        <w:rPr>
          <w:rFonts w:hint="eastAsia" w:asciiTheme="minorEastAsia" w:hAnsiTheme="minorEastAsia" w:eastAsiaTheme="minorEastAsia" w:cstheme="minorEastAsia"/>
          <w:b/>
          <w:bCs/>
          <w:color w:val="auto"/>
          <w:sz w:val="32"/>
          <w:szCs w:val="32"/>
        </w:rPr>
      </w:pPr>
    </w:p>
    <w:p>
      <w:pPr>
        <w:spacing w:line="360" w:lineRule="exact"/>
        <w:jc w:val="center"/>
        <w:rPr>
          <w:rFonts w:hint="eastAsia" w:asciiTheme="minorEastAsia" w:hAnsiTheme="minorEastAsia" w:eastAsiaTheme="minorEastAsia" w:cstheme="minorEastAsia"/>
          <w:b/>
          <w:bCs/>
          <w:color w:val="auto"/>
          <w:sz w:val="32"/>
          <w:szCs w:val="32"/>
        </w:rPr>
      </w:pPr>
    </w:p>
    <w:p>
      <w:pPr>
        <w:spacing w:line="360" w:lineRule="exact"/>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28"/>
          <w:szCs w:val="28"/>
        </w:rPr>
        <w:t>略</w:t>
      </w:r>
    </w:p>
    <w:p>
      <w:pPr>
        <w:adjustRightInd w:val="0"/>
        <w:snapToGrid w:val="0"/>
        <w:rPr>
          <w:rFonts w:hint="eastAsia" w:asciiTheme="minorEastAsia" w:hAnsiTheme="minorEastAsia" w:eastAsiaTheme="minorEastAsia" w:cstheme="minorEastAsia"/>
          <w:color w:val="auto"/>
          <w:sz w:val="32"/>
          <w:szCs w:val="32"/>
        </w:rPr>
      </w:pPr>
    </w:p>
    <w:p>
      <w:pPr>
        <w:pStyle w:val="29"/>
        <w:adjustRightInd w:val="0"/>
        <w:snapToGrid w:val="0"/>
        <w:spacing w:line="420" w:lineRule="exact"/>
        <w:ind w:firstLine="420" w:firstLineChars="2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br w:type="page"/>
      </w:r>
    </w:p>
    <w:p>
      <w:pPr>
        <w:spacing w:line="360" w:lineRule="exact"/>
        <w:jc w:val="center"/>
        <w:outlineLvl w:val="0"/>
        <w:rPr>
          <w:rFonts w:hint="eastAsia" w:asciiTheme="minorEastAsia" w:hAnsiTheme="minorEastAsia" w:eastAsiaTheme="minorEastAsia" w:cstheme="minorEastAsia"/>
          <w:b/>
          <w:color w:val="auto"/>
          <w:sz w:val="32"/>
          <w:szCs w:val="32"/>
        </w:rPr>
      </w:pPr>
      <w:bookmarkStart w:id="15" w:name="_Toc15956"/>
      <w:r>
        <w:rPr>
          <w:rFonts w:hint="eastAsia" w:asciiTheme="minorEastAsia" w:hAnsiTheme="minorEastAsia" w:eastAsiaTheme="minorEastAsia" w:cstheme="minorEastAsia"/>
          <w:b/>
          <w:bCs/>
          <w:color w:val="auto"/>
          <w:sz w:val="32"/>
          <w:szCs w:val="32"/>
        </w:rPr>
        <w:t xml:space="preserve">第五章 </w:t>
      </w:r>
      <w:r>
        <w:rPr>
          <w:rFonts w:hint="eastAsia" w:asciiTheme="minorEastAsia" w:hAnsiTheme="minorEastAsia" w:eastAsiaTheme="minorEastAsia" w:cstheme="minorEastAsia"/>
          <w:b/>
          <w:color w:val="auto"/>
          <w:sz w:val="32"/>
          <w:szCs w:val="32"/>
        </w:rPr>
        <w:t>采购需求</w:t>
      </w:r>
      <w:bookmarkEnd w:id="15"/>
    </w:p>
    <w:p>
      <w:pPr>
        <w:spacing w:line="360" w:lineRule="exact"/>
        <w:jc w:val="center"/>
        <w:outlineLvl w:val="0"/>
        <w:rPr>
          <w:rFonts w:hint="eastAsia" w:asciiTheme="minorEastAsia" w:hAnsiTheme="minorEastAsia" w:eastAsiaTheme="minorEastAsia" w:cstheme="minorEastAsia"/>
          <w:b/>
          <w:color w:val="auto"/>
          <w:sz w:val="32"/>
          <w:szCs w:val="32"/>
        </w:rPr>
      </w:pPr>
    </w:p>
    <w:p>
      <w:pPr>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一、项目名称</w:t>
      </w:r>
    </w:p>
    <w:p>
      <w:pPr>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湘潭市中心医院核磁共振楼装饰工程</w:t>
      </w:r>
    </w:p>
    <w:p>
      <w:pPr>
        <w:numPr>
          <w:ilvl w:val="0"/>
          <w:numId w:val="0"/>
        </w:numPr>
        <w:adjustRightInd w:val="0"/>
        <w:snapToGrid w:val="0"/>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eastAsia="zh-CN"/>
        </w:rPr>
        <w:t>二、</w:t>
      </w:r>
      <w:r>
        <w:rPr>
          <w:rFonts w:hint="eastAsia" w:asciiTheme="minorEastAsia" w:hAnsiTheme="minorEastAsia" w:eastAsiaTheme="minorEastAsia" w:cstheme="minorEastAsia"/>
          <w:b/>
          <w:color w:val="auto"/>
          <w:szCs w:val="21"/>
        </w:rPr>
        <w:t>工程条件：</w:t>
      </w:r>
      <w:r>
        <w:rPr>
          <w:rFonts w:hint="eastAsia" w:asciiTheme="minorEastAsia" w:hAnsiTheme="minorEastAsia" w:eastAsiaTheme="minorEastAsia" w:cstheme="minorEastAsia"/>
          <w:bCs/>
          <w:color w:val="auto"/>
          <w:szCs w:val="21"/>
        </w:rPr>
        <w:t>具备进场条件</w:t>
      </w:r>
    </w:p>
    <w:p>
      <w:pPr>
        <w:numPr>
          <w:ilvl w:val="0"/>
          <w:numId w:val="0"/>
        </w:numPr>
        <w:adjustRightInd w:val="0"/>
        <w:snapToGrid w:val="0"/>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eastAsia="zh-CN"/>
        </w:rPr>
        <w:t>三、</w:t>
      </w:r>
      <w:r>
        <w:rPr>
          <w:rFonts w:hint="eastAsia" w:asciiTheme="minorEastAsia" w:hAnsiTheme="minorEastAsia" w:eastAsiaTheme="minorEastAsia" w:cstheme="minorEastAsia"/>
          <w:b/>
          <w:color w:val="auto"/>
          <w:szCs w:val="21"/>
        </w:rPr>
        <w:t>施工要求：</w:t>
      </w:r>
    </w:p>
    <w:p>
      <w:pPr>
        <w:spacing w:line="360" w:lineRule="auto"/>
        <w:ind w:firstLine="613" w:firstLineChars="292"/>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1、施工单位须保护好施工现场内外的环境及卫生，施工材料及垃圾须集中堆放、清理。</w:t>
      </w:r>
    </w:p>
    <w:p>
      <w:pPr>
        <w:spacing w:line="360" w:lineRule="auto"/>
        <w:ind w:firstLine="613" w:firstLineChars="292"/>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2、施工单位须管理好进入采购单位内的施工人员。</w:t>
      </w:r>
    </w:p>
    <w:p>
      <w:pPr>
        <w:spacing w:line="360" w:lineRule="auto"/>
        <w:ind w:firstLine="613" w:firstLineChars="292"/>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3、施工单位须保证施工现场作业人员的安全，杜绝一切安全事故的发生。</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Cs/>
          <w:color w:val="auto"/>
          <w:szCs w:val="21"/>
        </w:rPr>
        <w:t>4、施工单位须负责施工现场周边环境的施工进出道路处理及周边人际关系的处理和协调，杜绝阻工事件的发生，</w:t>
      </w:r>
      <w:r>
        <w:rPr>
          <w:rFonts w:hint="eastAsia" w:asciiTheme="minorEastAsia" w:hAnsiTheme="minorEastAsia" w:eastAsiaTheme="minorEastAsia" w:cstheme="minorEastAsia"/>
          <w:bCs/>
          <w:color w:val="auto"/>
          <w:szCs w:val="21"/>
          <w:lang w:eastAsia="zh-CN"/>
        </w:rPr>
        <w:t>须根据施工进度，以公告的形式提前公示通知公安局离退休干部居民楼居民，</w:t>
      </w:r>
      <w:r>
        <w:rPr>
          <w:rFonts w:hint="eastAsia" w:asciiTheme="minorEastAsia" w:hAnsiTheme="minorEastAsia" w:eastAsiaTheme="minorEastAsia" w:cstheme="minorEastAsia"/>
          <w:bCs/>
          <w:color w:val="auto"/>
          <w:szCs w:val="21"/>
        </w:rPr>
        <w:t>由此产生的费用一概由施工单位负责。</w:t>
      </w:r>
      <w:r>
        <w:rPr>
          <w:rFonts w:hint="eastAsia" w:ascii="宋体" w:hAnsi="宋体" w:cs="宋体"/>
          <w:color w:val="auto"/>
        </w:rPr>
        <w:t>施工时不得影响我院常规</w:t>
      </w:r>
      <w:r>
        <w:rPr>
          <w:rFonts w:hint="eastAsia" w:ascii="宋体" w:hAnsi="宋体" w:cs="宋体"/>
          <w:color w:val="auto"/>
          <w:lang w:eastAsia="zh-CN"/>
        </w:rPr>
        <w:t>医疗</w:t>
      </w:r>
      <w:r>
        <w:rPr>
          <w:rFonts w:hint="eastAsia" w:ascii="宋体" w:hAnsi="宋体" w:cs="宋体"/>
          <w:color w:val="auto"/>
        </w:rPr>
        <w:t>和教学任务的正常进行。</w:t>
      </w:r>
    </w:p>
    <w:p>
      <w:pPr>
        <w:spacing w:line="360" w:lineRule="auto"/>
        <w:ind w:firstLine="420" w:firstLineChars="20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bCs/>
          <w:color w:val="auto"/>
          <w:szCs w:val="21"/>
          <w:lang w:val="en-US" w:eastAsia="zh-CN"/>
        </w:rPr>
        <w:t>须做好与消防、弱电外围工程、电梯等施工队伍的工作衔接和配合工作。由此产生的费用一概由施工单位负责。</w:t>
      </w:r>
    </w:p>
    <w:p>
      <w:pPr>
        <w:ind w:firstLine="424" w:firstLineChars="202"/>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val="en-US" w:eastAsia="zh-CN"/>
        </w:rPr>
        <w:t>6、</w:t>
      </w:r>
      <w:r>
        <w:rPr>
          <w:rFonts w:hint="eastAsia" w:asciiTheme="minorEastAsia" w:hAnsiTheme="minorEastAsia" w:eastAsiaTheme="minorEastAsia" w:cstheme="minorEastAsia"/>
          <w:bCs/>
          <w:color w:val="auto"/>
          <w:szCs w:val="21"/>
        </w:rPr>
        <w:t>拟任项目负责人（项目经理）须具有建筑工程专业</w:t>
      </w:r>
      <w:r>
        <w:rPr>
          <w:rFonts w:hint="eastAsia" w:asciiTheme="minorEastAsia" w:hAnsiTheme="minorEastAsia" w:eastAsiaTheme="minorEastAsia" w:cstheme="minorEastAsia"/>
          <w:bCs/>
          <w:color w:val="auto"/>
          <w:szCs w:val="21"/>
          <w:lang w:eastAsia="zh-CN"/>
        </w:rPr>
        <w:t>贰</w:t>
      </w:r>
      <w:r>
        <w:rPr>
          <w:rFonts w:hint="eastAsia" w:asciiTheme="minorEastAsia" w:hAnsiTheme="minorEastAsia" w:eastAsiaTheme="minorEastAsia" w:cstheme="minorEastAsia"/>
          <w:bCs/>
          <w:color w:val="auto"/>
          <w:szCs w:val="21"/>
        </w:rPr>
        <w:t>级及以上注册建造师执业资格以及有效的项目负责人安全生产考核合格证</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lang w:val="en-US" w:eastAsia="zh-CN"/>
        </w:rPr>
        <w:t xml:space="preserve">   ★7、项目部关键岗位人员数量不得低于湘建建[2015]57号文规定的最低配备标准，即至少项目负责人1人、技术负责人1人（</w:t>
      </w:r>
      <w:r>
        <w:rPr>
          <w:rFonts w:hint="eastAsia" w:asciiTheme="minorEastAsia" w:hAnsiTheme="minorEastAsia" w:eastAsiaTheme="minorEastAsia" w:cstheme="minorEastAsia"/>
          <w:b w:val="0"/>
          <w:bCs/>
          <w:color w:val="auto"/>
          <w:szCs w:val="21"/>
          <w:lang w:eastAsia="zh-CN"/>
        </w:rPr>
        <w:t>技术负责人具有建筑工程专业工程师及以上技术职称</w:t>
      </w:r>
      <w:r>
        <w:rPr>
          <w:rFonts w:hint="eastAsia" w:asciiTheme="minorEastAsia" w:hAnsiTheme="minorEastAsia" w:eastAsiaTheme="minorEastAsia" w:cstheme="minorEastAsia"/>
          <w:bCs/>
          <w:color w:val="auto"/>
          <w:szCs w:val="21"/>
          <w:lang w:val="en-US" w:eastAsia="zh-CN"/>
        </w:rPr>
        <w:t>）、施工员1人、安全员1人、质量员1人。（本项目岗位人数总人数可减少至3人，即项目负责人1人、施工员1人、安全员1人，其他岗位职责可兼任），并且在中标以后不允许进行人员更换。</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8</w:t>
      </w:r>
      <w:r>
        <w:rPr>
          <w:rFonts w:hint="eastAsia" w:asciiTheme="minorEastAsia" w:hAnsiTheme="minorEastAsia" w:eastAsiaTheme="minorEastAsia" w:cstheme="minorEastAsia"/>
          <w:bCs/>
          <w:color w:val="auto"/>
          <w:szCs w:val="21"/>
        </w:rPr>
        <w:t>、本工程所用材料、设备以及其他相关附属工程施工、材料全部由中标方负责采购，工程用材料必须符合设计要求、国家现行材料技术规范和标准以及</w:t>
      </w:r>
      <w:r>
        <w:rPr>
          <w:rFonts w:hint="eastAsia" w:asciiTheme="minorEastAsia" w:hAnsiTheme="minorEastAsia" w:eastAsiaTheme="minorEastAsia" w:cstheme="minorEastAsia"/>
          <w:bCs/>
          <w:color w:val="auto"/>
          <w:szCs w:val="21"/>
          <w:lang w:eastAsia="zh-CN"/>
        </w:rPr>
        <w:t>采购单位</w:t>
      </w:r>
      <w:r>
        <w:rPr>
          <w:rFonts w:hint="eastAsia" w:asciiTheme="minorEastAsia" w:hAnsiTheme="minorEastAsia" w:eastAsiaTheme="minorEastAsia" w:cstheme="minorEastAsia"/>
          <w:bCs/>
          <w:color w:val="auto"/>
          <w:szCs w:val="21"/>
        </w:rPr>
        <w:t>对有关材料的品牌要求，且应有产品合格证、出厂证明书、合法质监部门检验合格证及环保部门的检测报告，并经</w:t>
      </w:r>
      <w:r>
        <w:rPr>
          <w:rFonts w:hint="eastAsia" w:asciiTheme="minorEastAsia" w:hAnsiTheme="minorEastAsia" w:eastAsiaTheme="minorEastAsia" w:cstheme="minorEastAsia"/>
          <w:bCs/>
          <w:color w:val="auto"/>
          <w:szCs w:val="21"/>
          <w:lang w:eastAsia="zh-CN"/>
        </w:rPr>
        <w:t>采购单位</w:t>
      </w:r>
      <w:r>
        <w:rPr>
          <w:rFonts w:hint="eastAsia" w:asciiTheme="minorEastAsia" w:hAnsiTheme="minorEastAsia" w:eastAsiaTheme="minorEastAsia" w:cstheme="minorEastAsia"/>
          <w:bCs/>
          <w:color w:val="auto"/>
          <w:szCs w:val="21"/>
        </w:rPr>
        <w:t xml:space="preserve">现场代表确认合格后，方可用于本工程上。 </w:t>
      </w:r>
    </w:p>
    <w:p>
      <w:pPr>
        <w:spacing w:line="360" w:lineRule="auto"/>
        <w:ind w:firstLine="403" w:firstLineChars="192"/>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9、成交单位在施工过程中，必须根据投标文件的要求，选择材料和设备的品牌、品质，采购前必须由采购单位看样定货，确定品牌，核定价格，签字确认后方可采购进场。</w:t>
      </w:r>
    </w:p>
    <w:p>
      <w:pPr>
        <w:spacing w:line="360" w:lineRule="auto"/>
        <w:ind w:firstLine="403" w:firstLineChars="192"/>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10、本次项目中包含部分配套设备采购，投标单位所投标产品必须是同档次品牌和参数或优于推荐品牌和参数。投标产品必须是原厂家生产的，新的未使用和未经修复的，必须符合国家规定的相应技术标准。必须严格按《产品质量法》实行三包。</w:t>
      </w:r>
    </w:p>
    <w:p>
      <w:pPr>
        <w:spacing w:line="360" w:lineRule="auto"/>
        <w:ind w:firstLine="405" w:firstLineChars="192"/>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投标单位须对</w:t>
      </w:r>
      <w:r>
        <w:rPr>
          <w:rFonts w:hint="eastAsia" w:asciiTheme="minorEastAsia" w:hAnsiTheme="minorEastAsia" w:eastAsiaTheme="minorEastAsia" w:cstheme="minorEastAsia"/>
          <w:b/>
          <w:bCs/>
          <w:color w:val="auto"/>
          <w:szCs w:val="21"/>
          <w:lang w:eastAsia="zh-CN"/>
        </w:rPr>
        <w:t>上述要求在</w:t>
      </w:r>
      <w:r>
        <w:rPr>
          <w:rFonts w:hint="eastAsia" w:asciiTheme="minorEastAsia" w:hAnsiTheme="minorEastAsia" w:eastAsiaTheme="minorEastAsia" w:cstheme="minorEastAsia"/>
          <w:b/>
          <w:bCs/>
          <w:color w:val="auto"/>
          <w:szCs w:val="21"/>
        </w:rPr>
        <w:t>投标文件中响应。</w:t>
      </w:r>
    </w:p>
    <w:p>
      <w:pPr>
        <w:spacing w:line="360" w:lineRule="auto"/>
        <w:ind w:firstLine="420" w:firstLineChars="20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bCs/>
          <w:color w:val="auto"/>
          <w:szCs w:val="21"/>
        </w:rPr>
        <w:t>四、根据设计文件的要求。本招标工程项目的材料、设备、施工须达到现行中华人民共和国以及省、自治区、直辖市或行业的工程建设标准、规范的要求。</w:t>
      </w:r>
    </w:p>
    <w:p>
      <w:pPr>
        <w:adjustRightInd w:val="0"/>
        <w:snapToGrid w:val="0"/>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五、工程基本情况：</w:t>
      </w:r>
    </w:p>
    <w:p>
      <w:pPr>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本工程为改造工程，原湘潭市中心医院停车库改造，现对其室内空间及外立面和屋顶进行改造，保留原有建筑主体结构，改造后一层为磁共振检查用房，二、三层为办公。原有建筑面积约为</w:t>
      </w:r>
      <w:r>
        <w:rPr>
          <w:rFonts w:hint="eastAsia" w:asciiTheme="minorEastAsia" w:hAnsiTheme="minorEastAsia" w:eastAsiaTheme="minorEastAsia" w:cstheme="minorEastAsia"/>
          <w:color w:val="auto"/>
          <w:szCs w:val="21"/>
          <w:lang w:val="en-US" w:eastAsia="zh-CN"/>
        </w:rPr>
        <w:t>2424.84平方米，新加建筑面积约为188.01平方米，总建筑面积2612.85平方米，建筑层数为地上三层，建筑结构为框架结构。</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★工期：</w:t>
      </w:r>
      <w:r>
        <w:rPr>
          <w:rFonts w:hint="eastAsia" w:asciiTheme="minorEastAsia" w:hAnsiTheme="minorEastAsia" w:eastAsiaTheme="minorEastAsia" w:cstheme="minorEastAsia"/>
          <w:color w:val="auto"/>
          <w:szCs w:val="21"/>
          <w:lang w:val="en-US" w:eastAsia="zh-CN"/>
        </w:rPr>
        <w:t>90</w:t>
      </w:r>
      <w:r>
        <w:rPr>
          <w:rFonts w:hint="eastAsia" w:asciiTheme="minorEastAsia" w:hAnsiTheme="minorEastAsia" w:eastAsiaTheme="minorEastAsia" w:cstheme="minorEastAsia"/>
          <w:color w:val="auto"/>
          <w:szCs w:val="21"/>
        </w:rPr>
        <w:t>日历天</w:t>
      </w:r>
      <w:r>
        <w:rPr>
          <w:rFonts w:hint="eastAsia" w:asciiTheme="minorEastAsia" w:hAnsiTheme="minorEastAsia" w:eastAsiaTheme="minorEastAsia" w:cstheme="minorEastAsia"/>
          <w:color w:val="auto"/>
          <w:szCs w:val="21"/>
          <w:lang w:eastAsia="zh-CN"/>
        </w:rPr>
        <w:t>，（开工日期为</w:t>
      </w:r>
      <w:r>
        <w:rPr>
          <w:rFonts w:hint="eastAsia" w:asciiTheme="minorEastAsia" w:hAnsiTheme="minorEastAsia" w:eastAsiaTheme="minorEastAsia" w:cstheme="minorEastAsia"/>
          <w:color w:val="auto"/>
          <w:szCs w:val="21"/>
          <w:lang w:val="en-US" w:eastAsia="zh-CN"/>
        </w:rPr>
        <w:t>2019年2月14日</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2019年5月14日前必须完成工程验收</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除非采购单位书面通知，成交单位不得以任何理由停工或顺延工期。</w:t>
      </w:r>
    </w:p>
    <w:p>
      <w:pPr>
        <w:pStyle w:val="2"/>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Cs/>
          <w:color w:val="auto"/>
          <w:szCs w:val="21"/>
          <w:lang w:val="en-US" w:eastAsia="zh-CN"/>
        </w:rPr>
        <w:t>★</w:t>
      </w:r>
      <w:r>
        <w:rPr>
          <w:rFonts w:hint="eastAsia" w:asciiTheme="minorEastAsia" w:hAnsiTheme="minorEastAsia" w:eastAsiaTheme="minorEastAsia" w:cstheme="minorEastAsia"/>
          <w:color w:val="auto"/>
          <w:kern w:val="2"/>
          <w:sz w:val="21"/>
          <w:szCs w:val="21"/>
          <w:lang w:val="en-US" w:eastAsia="zh-CN" w:bidi="ar-SA"/>
        </w:rPr>
        <w:t>成交单位严格按图纸施工，施工中，减少一切非必要变更。严格按采购人工期要求加快施工进度，提早完工交付验收的，按照5000元/天奖励；逾期将按5000元/天进行处罚。超过15天，采购单位有权解除合同。</w:t>
      </w:r>
    </w:p>
    <w:p>
      <w:pPr>
        <w:numPr>
          <w:ilvl w:val="0"/>
          <w:numId w:val="0"/>
        </w:num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付款方式：</w:t>
      </w:r>
    </w:p>
    <w:p>
      <w:pPr>
        <w:adjustRightInd w:val="0"/>
        <w:snapToGrid w:val="0"/>
        <w:spacing w:line="360" w:lineRule="auto"/>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本工程按以下方式拨付进度款和结算款。</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eastAsia="zh-CN"/>
        </w:rPr>
        <w:t>本项目不支付工程预付款，完成</w:t>
      </w:r>
      <w:r>
        <w:rPr>
          <w:rFonts w:hint="eastAsia" w:asciiTheme="minorEastAsia" w:hAnsiTheme="minorEastAsia" w:eastAsiaTheme="minorEastAsia" w:cstheme="minorEastAsia"/>
          <w:color w:val="auto"/>
          <w:szCs w:val="21"/>
        </w:rPr>
        <w:t>工程</w:t>
      </w:r>
      <w:r>
        <w:rPr>
          <w:rFonts w:hint="eastAsia" w:asciiTheme="minorEastAsia" w:hAnsiTheme="minorEastAsia" w:eastAsiaTheme="minorEastAsia" w:cstheme="minorEastAsia"/>
          <w:color w:val="auto"/>
          <w:szCs w:val="21"/>
          <w:lang w:eastAsia="zh-CN"/>
        </w:rPr>
        <w:t>进度</w:t>
      </w:r>
      <w:r>
        <w:rPr>
          <w:rFonts w:hint="eastAsia" w:asciiTheme="minorEastAsia" w:hAnsiTheme="minorEastAsia" w:eastAsiaTheme="minorEastAsia" w:cstheme="minorEastAsia"/>
          <w:color w:val="auto"/>
          <w:szCs w:val="21"/>
          <w:lang w:val="en-US" w:eastAsia="zh-CN"/>
        </w:rPr>
        <w:t>50%</w:t>
      </w:r>
      <w:r>
        <w:rPr>
          <w:rFonts w:hint="eastAsia" w:asciiTheme="minorEastAsia" w:hAnsiTheme="minorEastAsia" w:eastAsiaTheme="minorEastAsia" w:cstheme="minorEastAsia"/>
          <w:color w:val="auto"/>
          <w:szCs w:val="21"/>
          <w:lang w:eastAsia="zh-CN"/>
        </w:rPr>
        <w:t>经采购方确认并同意后</w:t>
      </w:r>
      <w:r>
        <w:rPr>
          <w:rFonts w:hint="eastAsia" w:asciiTheme="minorEastAsia" w:hAnsiTheme="minorEastAsia" w:eastAsiaTheme="minorEastAsia" w:cstheme="minorEastAsia"/>
          <w:color w:val="auto"/>
          <w:szCs w:val="21"/>
        </w:rPr>
        <w:t>支付</w:t>
      </w:r>
      <w:r>
        <w:rPr>
          <w:rFonts w:hint="eastAsia" w:asciiTheme="minorEastAsia" w:hAnsiTheme="minorEastAsia" w:eastAsiaTheme="minorEastAsia" w:cstheme="minorEastAsia"/>
          <w:color w:val="auto"/>
          <w:szCs w:val="21"/>
          <w:lang w:eastAsia="zh-CN"/>
        </w:rPr>
        <w:t>至</w:t>
      </w:r>
      <w:r>
        <w:rPr>
          <w:rFonts w:hint="eastAsia" w:asciiTheme="minorEastAsia" w:hAnsiTheme="minorEastAsia" w:eastAsiaTheme="minorEastAsia" w:cstheme="minorEastAsia"/>
          <w:color w:val="auto"/>
          <w:szCs w:val="21"/>
        </w:rPr>
        <w:t>合同金额的</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,项目</w:t>
      </w:r>
      <w:r>
        <w:rPr>
          <w:rFonts w:hint="eastAsia" w:asciiTheme="minorEastAsia" w:hAnsiTheme="minorEastAsia" w:eastAsiaTheme="minorEastAsia" w:cstheme="minorEastAsia"/>
          <w:color w:val="auto"/>
          <w:szCs w:val="21"/>
        </w:rPr>
        <w:t>完工并通过相关部门验收合格后经采购方同意支付合同金额的</w:t>
      </w:r>
      <w:r>
        <w:rPr>
          <w:rFonts w:hint="eastAsia" w:asciiTheme="minorEastAsia" w:hAnsiTheme="minorEastAsia" w:eastAsiaTheme="minorEastAsia" w:cstheme="minorEastAsia"/>
          <w:color w:val="auto"/>
          <w:szCs w:val="21"/>
          <w:lang w:val="en-US" w:eastAsia="zh-CN"/>
        </w:rPr>
        <w:t>65</w:t>
      </w:r>
      <w:r>
        <w:rPr>
          <w:rFonts w:hint="eastAsia" w:asciiTheme="minorEastAsia" w:hAnsiTheme="minorEastAsia" w:eastAsiaTheme="minorEastAsia" w:cstheme="minorEastAsia"/>
          <w:color w:val="auto"/>
          <w:szCs w:val="21"/>
        </w:rPr>
        <w:t>%，经湘潭市</w:t>
      </w:r>
      <w:r>
        <w:rPr>
          <w:rFonts w:hint="eastAsia" w:asciiTheme="minorEastAsia" w:hAnsiTheme="minorEastAsia" w:eastAsiaTheme="minorEastAsia" w:cstheme="minorEastAsia"/>
          <w:color w:val="auto"/>
          <w:szCs w:val="21"/>
          <w:lang w:eastAsia="zh-CN"/>
        </w:rPr>
        <w:t>中心医院</w:t>
      </w:r>
      <w:r>
        <w:rPr>
          <w:rFonts w:hint="eastAsia" w:asciiTheme="minorEastAsia" w:hAnsiTheme="minorEastAsia" w:eastAsiaTheme="minorEastAsia" w:cstheme="minorEastAsia"/>
          <w:color w:val="auto"/>
          <w:szCs w:val="21"/>
        </w:rPr>
        <w:t>评审后支付</w:t>
      </w:r>
      <w:r>
        <w:rPr>
          <w:rFonts w:hint="eastAsia" w:asciiTheme="minorEastAsia" w:hAnsiTheme="minorEastAsia" w:eastAsiaTheme="minorEastAsia" w:cstheme="minorEastAsia"/>
          <w:color w:val="auto"/>
          <w:szCs w:val="21"/>
          <w:lang w:eastAsia="zh-CN"/>
        </w:rPr>
        <w:t>至</w:t>
      </w:r>
      <w:r>
        <w:rPr>
          <w:rFonts w:hint="eastAsia" w:asciiTheme="minorEastAsia" w:hAnsiTheme="minorEastAsia" w:eastAsiaTheme="minorEastAsia" w:cstheme="minorEastAsia"/>
          <w:color w:val="auto"/>
          <w:szCs w:val="21"/>
        </w:rPr>
        <w:t>结算金额的</w:t>
      </w:r>
      <w:r>
        <w:rPr>
          <w:rFonts w:hint="eastAsia" w:asciiTheme="minorEastAsia" w:hAnsiTheme="minorEastAsia" w:eastAsiaTheme="minorEastAsia" w:cstheme="minorEastAsia"/>
          <w:color w:val="auto"/>
          <w:szCs w:val="21"/>
          <w:lang w:val="en-US" w:eastAsia="zh-CN"/>
        </w:rPr>
        <w:t>97</w:t>
      </w:r>
      <w:r>
        <w:rPr>
          <w:rFonts w:hint="eastAsia" w:asciiTheme="minorEastAsia" w:hAnsiTheme="minorEastAsia" w:eastAsiaTheme="minorEastAsia" w:cstheme="minorEastAsia"/>
          <w:color w:val="auto"/>
          <w:szCs w:val="21"/>
        </w:rPr>
        <w:t>%，留3%作为质量保证金，工程验收合格</w:t>
      </w:r>
      <w:r>
        <w:rPr>
          <w:rFonts w:hint="eastAsia" w:asciiTheme="minorEastAsia" w:hAnsiTheme="minorEastAsia" w:eastAsiaTheme="minorEastAsia" w:cstheme="minorEastAsia"/>
          <w:color w:val="auto"/>
          <w:szCs w:val="21"/>
          <w:lang w:eastAsia="zh-CN"/>
        </w:rPr>
        <w:t>二</w:t>
      </w:r>
      <w:r>
        <w:rPr>
          <w:rFonts w:hint="eastAsia" w:asciiTheme="minorEastAsia" w:hAnsiTheme="minorEastAsia" w:eastAsiaTheme="minorEastAsia" w:cstheme="minorEastAsia"/>
          <w:color w:val="auto"/>
          <w:szCs w:val="21"/>
        </w:rPr>
        <w:t>年后，若工程无重大质量问题及其他经济法律纠纷则在七个工作日内无息付清。</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（2）付款凭正式税务发票，发票须由</w:t>
      </w:r>
      <w:r>
        <w:rPr>
          <w:rFonts w:hint="eastAsia" w:asciiTheme="minorEastAsia" w:hAnsiTheme="minorEastAsia" w:eastAsiaTheme="minorEastAsia" w:cstheme="minorEastAsia"/>
          <w:color w:val="auto"/>
          <w:szCs w:val="21"/>
          <w:lang w:eastAsia="zh-CN"/>
        </w:rPr>
        <w:t>成交</w:t>
      </w:r>
      <w:r>
        <w:rPr>
          <w:rFonts w:hint="eastAsia" w:asciiTheme="minorEastAsia" w:hAnsiTheme="minorEastAsia" w:eastAsiaTheme="minorEastAsia" w:cstheme="minorEastAsia"/>
          <w:color w:val="auto"/>
          <w:szCs w:val="21"/>
        </w:rPr>
        <w:t>单位开具。</w:t>
      </w:r>
    </w:p>
    <w:p>
      <w:pPr>
        <w:adjustRightInd w:val="0"/>
        <w:snapToGrid w:val="0"/>
        <w:spacing w:line="360" w:lineRule="auto"/>
        <w:ind w:firstLine="420" w:firstLineChars="200"/>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Cs/>
          <w:color w:val="auto"/>
          <w:szCs w:val="21"/>
          <w:lang w:val="en-US" w:eastAsia="zh-CN"/>
        </w:rPr>
        <w:t>★</w:t>
      </w:r>
      <w:r>
        <w:rPr>
          <w:rFonts w:hint="eastAsia" w:asciiTheme="minorEastAsia" w:hAnsiTheme="minorEastAsia" w:eastAsiaTheme="minorEastAsia" w:cstheme="minorEastAsia"/>
          <w:b/>
          <w:color w:val="auto"/>
          <w:szCs w:val="21"/>
        </w:rPr>
        <w:t>六、工程承包范围：</w:t>
      </w:r>
      <w:r>
        <w:rPr>
          <w:rFonts w:hint="eastAsia" w:asciiTheme="minorEastAsia" w:hAnsiTheme="minorEastAsia" w:eastAsiaTheme="minorEastAsia" w:cstheme="minorEastAsia"/>
          <w:b/>
          <w:bCs/>
          <w:color w:val="auto"/>
          <w:szCs w:val="21"/>
          <w:lang w:val="en-US" w:eastAsia="zh-CN"/>
        </w:rPr>
        <w:t>采购单位提供的施工图纸中的土建工程、强电工程、给排水工程、室外排水管道工程等，不包括消防工程和弱电工程（详见工程量清单）。</w:t>
      </w:r>
    </w:p>
    <w:p>
      <w:pPr>
        <w:spacing w:line="360" w:lineRule="auto"/>
        <w:ind w:firstLine="413" w:firstLineChars="196"/>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szCs w:val="21"/>
        </w:rPr>
        <w:t>七、</w:t>
      </w:r>
      <w:r>
        <w:rPr>
          <w:rFonts w:hint="eastAsia" w:asciiTheme="minorEastAsia" w:hAnsiTheme="minorEastAsia" w:eastAsiaTheme="minorEastAsia" w:cstheme="minorEastAsia"/>
          <w:b/>
          <w:color w:val="auto"/>
          <w:szCs w:val="21"/>
        </w:rPr>
        <w:t>说明：</w:t>
      </w:r>
    </w:p>
    <w:p>
      <w:pPr>
        <w:spacing w:line="360" w:lineRule="auto"/>
        <w:ind w:firstLine="413" w:firstLineChars="196"/>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1.工程量清单说明</w:t>
      </w:r>
    </w:p>
    <w:p>
      <w:pPr>
        <w:spacing w:line="360" w:lineRule="auto"/>
        <w:ind w:firstLine="420" w:firstLineChars="200"/>
        <w:rPr>
          <w:rFonts w:hint="eastAsia" w:asciiTheme="minorEastAsia" w:hAnsiTheme="minorEastAsia" w:eastAsiaTheme="minorEastAsia" w:cstheme="minorEastAsia"/>
          <w:color w:val="auto"/>
          <w:szCs w:val="21"/>
        </w:rPr>
      </w:pPr>
      <w:bookmarkStart w:id="16" w:name="_Toc303864958"/>
      <w:r>
        <w:rPr>
          <w:rFonts w:hint="eastAsia" w:asciiTheme="minorEastAsia" w:hAnsiTheme="minorEastAsia" w:eastAsiaTheme="minorEastAsia" w:cstheme="minorEastAsia"/>
          <w:color w:val="auto"/>
          <w:szCs w:val="21"/>
        </w:rPr>
        <w:t>1.1 本工程量清单是依据湘建价[2014]113号文《湖南省建设工程工程量清单计价办法》（以下简称“计价办法”）、湘建价〔2018〕101号《湖南省住房和城乡建设厅关于调整建设工程销项税额税率和材料综合税率计费标准的通知》、及《关于增值税条件下材料价格发布与使用的规定》的通知、湘建价[2016]160号文《湖南省关于调整补充增值税条件下建设工程计价依据的通知》以及招标文件中包括的图纸等编制。计价办法中规定的工程量计算规则中没有的子目，在本章第1.4款约定；计价办法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 本工程量清单应与招标文件中的投标人须知、通用合同条款、专用合同条款、技术标准和要求及图纸等章节内容一起阅读和理解。</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360" w:lineRule="auto"/>
        <w:ind w:left="260" w:leftChars="124" w:firstLine="210" w:firstLineChars="1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 补充子目的子目特征、计量单位、工程量计算规则及工作内容说明如下：</w:t>
      </w:r>
      <w:r>
        <w:rPr>
          <w:rFonts w:hint="eastAsia" w:asciiTheme="minorEastAsia" w:hAnsiTheme="minorEastAsia" w:eastAsiaTheme="minorEastAsia" w:cstheme="minorEastAsia"/>
          <w:color w:val="auto"/>
          <w:szCs w:val="21"/>
          <w:u w:val="single"/>
        </w:rPr>
        <w:t xml:space="preserve"> /  </w:t>
      </w:r>
      <w:r>
        <w:rPr>
          <w:rFonts w:hint="eastAsia" w:asciiTheme="minorEastAsia" w:hAnsiTheme="minorEastAsia" w:eastAsiaTheme="minorEastAsia" w:cstheme="minorEastAsia"/>
          <w:color w:val="auto"/>
          <w:szCs w:val="21"/>
        </w:rPr>
        <w:t>。</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 本条第1.1款中约定的计量和计价规则适用于合同履约过程中工程量计量与价款支付、工程变更、索赔和工程结算。</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 本条与下述第2条和第3条的说明内容是构成合同文件的已标价工程量清单的组成部分。</w:t>
      </w:r>
    </w:p>
    <w:p>
      <w:pPr>
        <w:pStyle w:val="49"/>
        <w:spacing w:line="360" w:lineRule="auto"/>
        <w:ind w:firstLine="413" w:firstLineChars="196"/>
        <w:jc w:val="left"/>
        <w:outlineLvl w:val="9"/>
        <w:rPr>
          <w:rFonts w:hint="eastAsia" w:asciiTheme="minorEastAsia" w:hAnsiTheme="minorEastAsia" w:eastAsiaTheme="minorEastAsia" w:cstheme="minorEastAsia"/>
          <w:color w:val="auto"/>
          <w:sz w:val="21"/>
          <w:szCs w:val="21"/>
        </w:rPr>
      </w:pPr>
      <w:bookmarkStart w:id="17" w:name="_Toc18774"/>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预算</w:t>
      </w:r>
      <w:r>
        <w:rPr>
          <w:rFonts w:hint="eastAsia" w:asciiTheme="minorEastAsia" w:hAnsiTheme="minorEastAsia" w:eastAsiaTheme="minorEastAsia" w:cstheme="minorEastAsia"/>
          <w:color w:val="auto"/>
          <w:sz w:val="21"/>
          <w:szCs w:val="21"/>
        </w:rPr>
        <w:t>价编制说明及公布</w:t>
      </w:r>
      <w:bookmarkEnd w:id="16"/>
      <w:bookmarkEnd w:id="17"/>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2.1 </w:t>
      </w:r>
      <w:r>
        <w:rPr>
          <w:rFonts w:hint="eastAsia" w:asciiTheme="minorEastAsia" w:hAnsiTheme="minorEastAsia" w:eastAsiaTheme="minorEastAsia" w:cstheme="minorEastAsia"/>
          <w:color w:val="auto"/>
          <w:szCs w:val="21"/>
          <w:lang w:eastAsia="zh-CN"/>
        </w:rPr>
        <w:t>预算</w:t>
      </w:r>
      <w:r>
        <w:rPr>
          <w:rFonts w:hint="eastAsia" w:asciiTheme="minorEastAsia" w:hAnsiTheme="minorEastAsia" w:eastAsiaTheme="minorEastAsia" w:cstheme="minorEastAsia"/>
          <w:color w:val="auto"/>
          <w:szCs w:val="21"/>
        </w:rPr>
        <w:t>价编制依据</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（1）《建设工程工程量清单计价规范》；</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（2）《湖南省建设工程工程量清单计价办法》（湘建价［2014］113号）；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（3）湖南省建设行政主管部门颁发的建设工程消耗量标准；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（4）建设工程设计文件及相关资料；</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（5）拟定的招标文件及补充通知、答疑纪要、招标工程量清单；</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（6）与建设项目相关的标准、规范等技术资料；</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（7）施工现场情况、工程特点及常规施工方案；</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（8）各项主材以2018年</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月份湘潭市建设工程造价信息文件预算价；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（9）《关于增值税条件下材料价格发布与使用的规定&gt;的通知》（湘建价〔2016〕72号）；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未尽事宜以湘建价[2014]113号文《湖南省建设工程计价办法》及其配套文件、湘建价建〔2014〕35号文《关于执行《湖南省建设工程计价办法》的补充通知》、湘建价〔2016〕72号文《关于增值税条件下计费程序和计费标准的规定》、湘建价〔2018〕101号《湖南省住房和城乡建设厅关于调整建设工程销项税额税率和材料综合税率计费标准的通知》、及《关于增值税条件下材料价格发布与使用的规定》的通知、湘建价[2016]160号文《湖南省关于调整补充增值税条件下建设工程计价依据的通知》、《关于取消建筑行业劳保基金与增加社会保险费有关事项的通知》（湘建价[2016]134号）；人工工资按《关于发布湖南省各市州建设工程人工工资单价的通知》(湘建建[2017]165号)规定执行；</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）其他的相关资料。</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2.2本</w:t>
      </w:r>
      <w:r>
        <w:rPr>
          <w:rFonts w:hint="eastAsia" w:asciiTheme="minorEastAsia" w:hAnsiTheme="minorEastAsia" w:eastAsiaTheme="minorEastAsia" w:cstheme="minorEastAsia"/>
          <w:color w:val="auto"/>
          <w:szCs w:val="21"/>
          <w:lang w:eastAsia="zh-CN"/>
        </w:rPr>
        <w:t>预算</w:t>
      </w:r>
      <w:r>
        <w:rPr>
          <w:rFonts w:hint="eastAsia" w:asciiTheme="minorEastAsia" w:hAnsiTheme="minorEastAsia" w:eastAsiaTheme="minorEastAsia" w:cstheme="minorEastAsia"/>
          <w:color w:val="auto"/>
          <w:szCs w:val="21"/>
        </w:rPr>
        <w:t>价由具有编制能力的</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或受其委托并具有相应资质的工程造价咨询机构编制，并通过湘潭市中心</w:t>
      </w:r>
      <w:r>
        <w:rPr>
          <w:rFonts w:hint="eastAsia" w:asciiTheme="minorEastAsia" w:hAnsiTheme="minorEastAsia" w:eastAsiaTheme="minorEastAsia" w:cstheme="minorEastAsia"/>
          <w:color w:val="auto"/>
          <w:szCs w:val="21"/>
          <w:lang w:eastAsia="zh-CN"/>
        </w:rPr>
        <w:t>医院</w:t>
      </w:r>
      <w:r>
        <w:rPr>
          <w:rFonts w:hint="eastAsia" w:asciiTheme="minorEastAsia" w:hAnsiTheme="minorEastAsia" w:eastAsiaTheme="minorEastAsia" w:cstheme="minorEastAsia"/>
          <w:color w:val="auto"/>
          <w:szCs w:val="21"/>
        </w:rPr>
        <w:t>评审认定并备案。</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w:t>
      </w:r>
      <w:r>
        <w:rPr>
          <w:rFonts w:hint="eastAsia" w:asciiTheme="minorEastAsia" w:hAnsiTheme="minorEastAsia" w:eastAsiaTheme="minorEastAsia" w:cstheme="minorEastAsia"/>
          <w:color w:val="auto"/>
          <w:szCs w:val="21"/>
          <w:lang w:eastAsia="zh-CN"/>
        </w:rPr>
        <w:t>预算</w:t>
      </w:r>
      <w:r>
        <w:rPr>
          <w:rFonts w:hint="eastAsia" w:asciiTheme="minorEastAsia" w:hAnsiTheme="minorEastAsia" w:eastAsiaTheme="minorEastAsia" w:cstheme="minorEastAsia"/>
          <w:color w:val="auto"/>
          <w:szCs w:val="21"/>
        </w:rPr>
        <w:t>价的公布</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2.3.1</w:t>
      </w:r>
      <w:r>
        <w:rPr>
          <w:rFonts w:hint="eastAsia" w:asciiTheme="minorEastAsia" w:hAnsiTheme="minorEastAsia" w:eastAsiaTheme="minorEastAsia" w:cstheme="minorEastAsia"/>
          <w:color w:val="auto"/>
          <w:szCs w:val="21"/>
          <w:lang w:eastAsia="zh-CN"/>
        </w:rPr>
        <w:t>预算</w:t>
      </w:r>
      <w:r>
        <w:rPr>
          <w:rFonts w:hint="eastAsia" w:asciiTheme="minorEastAsia" w:hAnsiTheme="minorEastAsia" w:eastAsiaTheme="minorEastAsia" w:cstheme="minorEastAsia"/>
          <w:color w:val="auto"/>
          <w:szCs w:val="21"/>
        </w:rPr>
        <w:t>价详见投标人须知前附表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2.4投标人成本评审办法</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C0.总  则</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本附件是本章“评标办法”的组成部分，评标委员会对投标人投标报价是否低于其成本进行评审和判断时，适用本办法。</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C1.评审程序</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C1.1 启动成本评审工作的前提条件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在满足下列两项条件的前提下，评标委员会应当启动并进行本办法所规定的评审，以判别投标人的投标报价是否低于其成本：</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C1.1.1 投标人的投标文件已经通过 “响应文件的评审”规定的“初步评审”，不存在应当废标的情形；</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C1.1.2 投标人的投标报价低于（不含）以下限度的：</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□（1）</w:t>
      </w:r>
      <w:r>
        <w:rPr>
          <w:rFonts w:hint="eastAsia" w:asciiTheme="minorEastAsia" w:hAnsiTheme="minorEastAsia" w:eastAsiaTheme="minorEastAsia" w:cstheme="minorEastAsia"/>
          <w:color w:val="auto"/>
          <w:szCs w:val="21"/>
          <w:lang w:eastAsia="zh-CN"/>
        </w:rPr>
        <w:t>预算</w:t>
      </w:r>
      <w:r>
        <w:rPr>
          <w:rFonts w:hint="eastAsia" w:asciiTheme="minorEastAsia" w:hAnsiTheme="minorEastAsia" w:eastAsiaTheme="minorEastAsia" w:cstheme="minorEastAsia"/>
          <w:color w:val="auto"/>
          <w:szCs w:val="21"/>
        </w:rPr>
        <w:t>价</w:t>
      </w:r>
      <w:r>
        <w:rPr>
          <w:rFonts w:hint="eastAsia" w:asciiTheme="minorEastAsia" w:hAnsiTheme="minorEastAsia" w:eastAsiaTheme="minorEastAsia" w:cstheme="minorEastAsia"/>
          <w:color w:val="auto"/>
          <w:szCs w:val="21"/>
          <w:lang w:eastAsia="zh-CN"/>
        </w:rPr>
        <w:t>的</w:t>
      </w:r>
      <w:r>
        <w:rPr>
          <w:rFonts w:hint="eastAsia" w:asciiTheme="minorEastAsia" w:hAnsiTheme="minorEastAsia" w:eastAsiaTheme="minorEastAsia" w:cstheme="minorEastAsia"/>
          <w:color w:val="auto"/>
          <w:szCs w:val="21"/>
        </w:rPr>
        <w:t>8%</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★（1）投标人有效报价的投标报价算术平均值5%</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C1.2判断投标报价是否低于成本</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对低于投标人有效报价的投标报价算术平均值8%的投标报价，评标委员会可以通过以下方法之一对投标报价作出评审结论：</w:t>
      </w:r>
    </w:p>
    <w:p>
      <w:pPr>
        <w:spacing w:line="360" w:lineRule="auto"/>
        <w:ind w:firstLine="420" w:firstLineChars="200"/>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val="0"/>
          <w:bCs w:val="0"/>
          <w:color w:val="auto"/>
          <w:szCs w:val="21"/>
          <w:lang w:eastAsia="zh-CN"/>
        </w:rPr>
        <w:t>采购单位</w:t>
      </w:r>
      <w:r>
        <w:rPr>
          <w:rFonts w:hint="eastAsia" w:asciiTheme="minorEastAsia" w:hAnsiTheme="minorEastAsia" w:eastAsiaTheme="minorEastAsia" w:cstheme="minorEastAsia"/>
          <w:b w:val="0"/>
          <w:bCs w:val="0"/>
          <w:color w:val="auto"/>
          <w:szCs w:val="21"/>
        </w:rPr>
        <w:t>将低于投标人有效报价的投标报价算术平均值8%的投标报价确定为成本价，低于该成本价的为无效报价，按废标处理。</w:t>
      </w:r>
    </w:p>
    <w:p>
      <w:pPr>
        <w:spacing w:line="360" w:lineRule="auto"/>
        <w:rPr>
          <w:rFonts w:hint="eastAsia" w:asciiTheme="minorEastAsia" w:hAnsiTheme="minorEastAsia" w:eastAsiaTheme="minorEastAsia" w:cstheme="minorEastAsia"/>
          <w:b/>
          <w:color w:val="auto"/>
          <w:szCs w:val="21"/>
        </w:rPr>
      </w:pPr>
      <w:bookmarkStart w:id="18" w:name="_Toc303864959"/>
      <w:r>
        <w:rPr>
          <w:rFonts w:hint="eastAsia" w:asciiTheme="minorEastAsia" w:hAnsiTheme="minorEastAsia" w:eastAsiaTheme="minorEastAsia" w:cstheme="minorEastAsia"/>
          <w:b/>
          <w:color w:val="auto"/>
          <w:szCs w:val="21"/>
        </w:rPr>
        <w:t>3.投标报价说明</w:t>
      </w:r>
      <w:bookmarkEnd w:id="18"/>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 投标报价应根据招标文件中的有关计价要求，并按照下列依据自主报价。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（1）《建设工程工程量清单计价规范》；</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湖南省建设工程工程量清单计价办法》（湘建价［2014］113号）、湘建价〔2018〕101号《湖南省住房和城乡建设厅关于调整建设工程销项税额税率和材料综合税率计费标准的通知》、及湖南省建设行政主管部门颁发的建设工程消耗量标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（3）企业定额；</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（4）招标文件、招标工程量清单及其补充通知、答疑纪要；</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（5）建设工程设计文件及相关资料；</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（6）施工现场情况、工程特点及拟定的投标施工组织设计或施工方案；</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（7）与建设项目相关的标准、规范等技术资料；</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（8）工程造价管理机构发布的《湘潭建设工程造价信息》</w:t>
      </w:r>
      <w:r>
        <w:rPr>
          <w:rFonts w:hint="eastAsia" w:asciiTheme="minorEastAsia" w:hAnsiTheme="minorEastAsia" w:eastAsiaTheme="minorEastAsia" w:cstheme="minorEastAsia"/>
          <w:color w:val="auto"/>
          <w:szCs w:val="21"/>
          <w:lang w:val="en-US" w:eastAsia="zh-CN"/>
        </w:rPr>
        <w:t>2018年10月</w:t>
      </w:r>
      <w:r>
        <w:rPr>
          <w:rFonts w:hint="eastAsia" w:asciiTheme="minorEastAsia" w:hAnsiTheme="minorEastAsia" w:eastAsiaTheme="minorEastAsia" w:cstheme="minorEastAsia"/>
          <w:color w:val="auto"/>
          <w:szCs w:val="21"/>
        </w:rPr>
        <w:t>的工程造价信息，没有发布的参照市场价；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（9）其他的相关资料。</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工程量清单中的每一子目须填入单价或价格，且只允许有一个报价。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 工程量清单中标价的单价或金额，应包括所需人工费、材料费、施工机械使用费和管理费及利润，以及一定范围内的风险费用。所谓“一定范围内的风险”是指合同约定的风险。</w:t>
      </w:r>
    </w:p>
    <w:p>
      <w:pPr>
        <w:spacing w:line="360" w:lineRule="auto"/>
        <w:ind w:left="15" w:leftChars="7"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 已标价工程量清单中投标人没有填入单价或价格的子目，其费用视为已分摊在工程量清单中其他已标价的相关子目的单价或价格之中。</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3.5 “投标报价汇总表”中的投标总价由分部分项工程费、措施项目费、其他项目费、规费、税金和暂列金额组成，并且“投标报价汇总表”中的投标总价应当与构成已标价工程量清单的分部分项工程费、措施项目费、其他项目费、规费、税金的合计金额一致。</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 分部分项工程项目按下列要求报价：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3.6.1 分部分项工程量清单计价应依据计价办法中关于综合单价的组成内容确定报价。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3.6.2 如果分部分项工程量清单中涉及“材料(工程设备)暂估单价及调整表”中列出的材料和工程设备，则按照本节第4.3.2项的报价原则，将该类材料和工程设备的暂估单价本身以及除对应的规费及税金以外的费用计入分部分项工程量清单相应子目的综合单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3.6.3 如果分部分项工程量清单中涉及“发包人提供材料和工程设备一览表”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3.6.4 “分部分项工程和单价措施项目清单与计价表”所列各子目的综合单价组成中，各子目的人工、材料和机械台班消耗量由投标人按照其自身情况做充分的、竞争性考虑。材料消耗量包括损耗量。</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3.6.5 投标人在投标文件中提交并构成合同文件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3.6.6投标方须在投标文件中注明主材的品牌、型号、</w:t>
      </w:r>
      <w:r>
        <w:rPr>
          <w:rFonts w:hint="eastAsia" w:asciiTheme="minorEastAsia" w:hAnsiTheme="minorEastAsia" w:eastAsiaTheme="minorEastAsia" w:cstheme="minorEastAsia"/>
          <w:color w:val="auto"/>
          <w:szCs w:val="21"/>
          <w:lang w:eastAsia="zh-CN"/>
        </w:rPr>
        <w:t>规格</w:t>
      </w:r>
      <w:r>
        <w:rPr>
          <w:rFonts w:hint="eastAsia" w:asciiTheme="minorEastAsia" w:hAnsiTheme="minorEastAsia" w:eastAsiaTheme="minorEastAsia" w:cstheme="minorEastAsia"/>
          <w:color w:val="auto"/>
          <w:szCs w:val="21"/>
        </w:rPr>
        <w:t>、等级。</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 措施项目按下列要求报价：</w:t>
      </w:r>
    </w:p>
    <w:p>
      <w:pPr>
        <w:spacing w:line="360" w:lineRule="auto"/>
        <w:ind w:left="13" w:leftChars="6"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3.7.1 </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给出的措施项目清单的内容进行细化或增减。</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3.7.2 措施项目中所填写的报价金额，应全面涵盖招标文件约定的投标人中标后施工、竣工、交付本工程并维修其任何缺陷所需要履行的责任和义务的全部费用；投标人在投标报价时应充分考虑，不得在中标后施工、竣工、交付本工程并维修其任何缺陷过程中以未考虑到或漏报或少报而提出增加施工措施项目费。</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 其他项目清单费应按下列规定报价：</w:t>
      </w:r>
    </w:p>
    <w:p>
      <w:pPr>
        <w:spacing w:line="360" w:lineRule="auto"/>
        <w:ind w:left="4" w:leftChars="2"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3.8.1 暂列金额按“暂列金额明细表”中列出的金额报价，此处的暂列金额是</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在招标文件中统一给定的，并不包括本章第3.8.3项的计日工金额。</w:t>
      </w:r>
    </w:p>
    <w:p>
      <w:pPr>
        <w:spacing w:line="360" w:lineRule="auto"/>
        <w:ind w:left="4" w:leftChars="2"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3.8.2 暂估价分为材料和工程设备暂估单价和专业工程暂估价两类。其中的材料和工程设备暂估单价按本节第4.3.2项的报价原则进入分部分项工程量清单之综合单价，不在其他项目清单中汇总；专业工程暂估价直接按“专业工程暂估价表”中列出的金额和本节第4.3.3项的报价原则计入其他项目清单报价。</w:t>
      </w:r>
    </w:p>
    <w:p>
      <w:pPr>
        <w:spacing w:line="360" w:lineRule="auto"/>
        <w:ind w:left="4" w:leftChars="2"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3.8.3 计日工按“计日工表”中列出的子目和估算数量，自主确定综合单价并计算计日工金额。计日工综合单价均不包括规费和税金，其中：</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（2）材料价格包括材料运到现场的价格以及现场搬运、仓储、二次搬运、损耗、保险、企业管理费和利润；</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left="4" w:leftChars="2"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3.8.4 总承包服务费根据招标文件中列出的内容和要求，按“总承包服务费计价表”所列格式自主报价。</w:t>
      </w:r>
    </w:p>
    <w:p>
      <w:pPr>
        <w:spacing w:line="360" w:lineRule="auto"/>
        <w:ind w:left="4" w:leftChars="2"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3.9 规费和税金必须按国家、省级或行业建设主管部门的规定计算，不得作为竞争性费用。</w:t>
      </w:r>
    </w:p>
    <w:p>
      <w:pPr>
        <w:spacing w:line="360" w:lineRule="auto"/>
        <w:ind w:left="4" w:leftChars="2"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3.10 除招标文件有强制性规定以及不可竞争部分以外，投标报价由</w:t>
      </w:r>
      <w:r>
        <w:rPr>
          <w:rFonts w:hint="eastAsia" w:asciiTheme="minorEastAsia" w:hAnsiTheme="minorEastAsia" w:eastAsiaTheme="minorEastAsia" w:cstheme="minorEastAsia"/>
          <w:color w:val="auto"/>
          <w:szCs w:val="21"/>
          <w:lang w:eastAsia="zh-CN"/>
        </w:rPr>
        <w:t>供应商</w:t>
      </w:r>
      <w:r>
        <w:rPr>
          <w:rFonts w:hint="eastAsia" w:asciiTheme="minorEastAsia" w:hAnsiTheme="minorEastAsia" w:eastAsiaTheme="minorEastAsia" w:cstheme="minorEastAsia"/>
          <w:color w:val="auto"/>
          <w:szCs w:val="21"/>
        </w:rPr>
        <w:t>自主确定，但不得低于其成本。</w:t>
      </w:r>
    </w:p>
    <w:p>
      <w:pPr>
        <w:spacing w:line="360" w:lineRule="auto"/>
        <w:ind w:left="2" w:leftChars="1"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3.11 工程量清单计价所涉及的生产资源（包括各类人工、材料、工程设备、施工设备、临时设施、临时用水、临时用电等）的投标价格，应根据自身的信息渠道和采购渠道，分析其市场价格水平并判断其整个施工周期内的变化趋势，体现</w:t>
      </w:r>
      <w:r>
        <w:rPr>
          <w:rFonts w:hint="eastAsia" w:asciiTheme="minorEastAsia" w:hAnsiTheme="minorEastAsia" w:eastAsiaTheme="minorEastAsia" w:cstheme="minorEastAsia"/>
          <w:color w:val="auto"/>
          <w:szCs w:val="21"/>
          <w:lang w:eastAsia="zh-CN"/>
        </w:rPr>
        <w:t>供应商</w:t>
      </w:r>
      <w:r>
        <w:rPr>
          <w:rFonts w:hint="eastAsia" w:asciiTheme="minorEastAsia" w:hAnsiTheme="minorEastAsia" w:eastAsiaTheme="minorEastAsia" w:cstheme="minorEastAsia"/>
          <w:color w:val="auto"/>
          <w:szCs w:val="21"/>
        </w:rPr>
        <w:t>自身的管理水平、技术水平和综合实力。</w:t>
      </w:r>
    </w:p>
    <w:p>
      <w:pPr>
        <w:spacing w:line="360" w:lineRule="auto"/>
        <w:ind w:left="4" w:leftChars="2"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3.12 管理费应由投标人在保证不低于其成本的基础上做竞争性考虑；利润由投标人根据自身情况和综合实力做竞争性考虑。</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3.13 投标报价中应考虑招标文件中要求投标人承担的风险范围以及相关的费用。</w:t>
      </w:r>
    </w:p>
    <w:p>
      <w:pPr>
        <w:spacing w:line="360" w:lineRule="auto"/>
        <w:ind w:left="4" w:leftChars="2"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3.14 投标总价为投标人在投标文件中提出的各项支付金额的总和，为实施、完成招标工程并修补缺陷以及履行招标文件中约定的风险范围内的所有责任和义务所发生的全部费用。</w:t>
      </w:r>
    </w:p>
    <w:p>
      <w:pPr>
        <w:widowControl/>
        <w:spacing w:line="360" w:lineRule="auto"/>
        <w:ind w:firstLine="420" w:firstLineChars="200"/>
        <w:jc w:val="left"/>
        <w:rPr>
          <w:rFonts w:hint="eastAsia" w:asciiTheme="minorEastAsia" w:hAnsiTheme="minorEastAsia" w:eastAsiaTheme="minorEastAsia" w:cstheme="minorEastAsia"/>
          <w:color w:val="auto"/>
          <w:szCs w:val="21"/>
        </w:rPr>
      </w:pPr>
      <w:bookmarkStart w:id="19" w:name="_Toc303864960"/>
      <w:r>
        <w:rPr>
          <w:rFonts w:hint="eastAsia" w:asciiTheme="minorEastAsia" w:hAnsiTheme="minorEastAsia" w:eastAsiaTheme="minorEastAsia" w:cstheme="minorEastAsia"/>
          <w:color w:val="auto"/>
          <w:szCs w:val="21"/>
        </w:rPr>
        <w:t xml:space="preserve">3.15 有关投标报价的其他说明： </w:t>
      </w:r>
    </w:p>
    <w:p>
      <w:pPr>
        <w:widowControl/>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3.15.1 人工工资单价按工程造价管理机构发布的工程造价信息确定，且不得低于最低工资标准。</w:t>
      </w:r>
    </w:p>
    <w:p>
      <w:pPr>
        <w:widowControl/>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人工工资单价不得低于湘建价[2017]165号文件中规定的湘潭市最低工资标准。</w:t>
      </w:r>
    </w:p>
    <w:p>
      <w:pPr>
        <w:widowControl/>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3.15.2安全文明施工费必须单独列项，费率不得低于湘建价[2014]113号文件标准；</w:t>
      </w:r>
    </w:p>
    <w:p>
      <w:pPr>
        <w:widowControl/>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3.15.3本工程实行工程量清单计价方式（即采用固定综合单价合同方式，投标人工程量清单中的综合单价报价为固定价格，即当招标工程范围、工程内容以及招标时</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规定的主材规格和品牌不变时，投标人所填写的综合单价在合同实施期间均不调整）。</w:t>
      </w:r>
    </w:p>
    <w:p>
      <w:pPr>
        <w:spacing w:line="360" w:lineRule="auto"/>
        <w:ind w:firstLine="413" w:firstLineChars="196"/>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4.其他说明</w:t>
      </w:r>
      <w:bookmarkEnd w:id="19"/>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 词语和定义</w:t>
      </w:r>
    </w:p>
    <w:p>
      <w:pPr>
        <w:spacing w:beforeLines="10" w:afterLines="20"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4.1.1 工程量清单</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载明建设工程分部分项工程项目、措施项目、其他项目的名称和相应数量以及规费、税金项目等内容的明细清单。</w:t>
      </w:r>
    </w:p>
    <w:p>
      <w:pPr>
        <w:spacing w:beforeLines="10" w:afterLines="20"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4.1.2 总价项目</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量清单中以总价计价的项目，即此类项目在相关工程现行国家计量规范中无工程量计算规则，以总价（或计算基础乘费率）计算的项目；除专用合同条款另有约定外，总价固定包干。采用总价合同形式时，合同订立后，已标价工程量清单中的工程量均没有合同约束力，所有子目均是总价子目，视同按项计量（合同条款约定的变更除外）。</w:t>
      </w:r>
    </w:p>
    <w:p>
      <w:pPr>
        <w:spacing w:beforeLines="10" w:afterLines="20"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4.1.3 单价项目</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工程量清单中以单价计价的项目，即根据合同工程图纸（含设计变更）和相关工程现行国家计量规范规定的工程量计算规则进行计量，与已标价工程量清单相应综合单价进行价款计算的项目。</w:t>
      </w:r>
    </w:p>
    <w:p>
      <w:pPr>
        <w:spacing w:beforeLines="10" w:afterLines="20"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4.1.4 项目编码</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分部分项工程项目和措施项目清单名称的阿拉伯数字标识。</w:t>
      </w:r>
    </w:p>
    <w:p>
      <w:pPr>
        <w:spacing w:beforeLines="20" w:afterLines="20"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4.1.5 项目特征</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构成分部分项工程项目、措施项目自身价值的本质特征。</w:t>
      </w:r>
    </w:p>
    <w:p>
      <w:pPr>
        <w:spacing w:beforeLines="20" w:afterLines="20"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4.1.6 规费</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根据国家法律、法规规定，由省级政府或省级有关权力部门规定施工企业必须缴纳的，应计入建筑安装工程造价的费用。</w:t>
      </w:r>
    </w:p>
    <w:p>
      <w:pPr>
        <w:spacing w:beforeLines="20" w:afterLines="20"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4.1.7 税金</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国家税法规定的应计入建筑安装工程造价内的营业税、城市维护建设税及教育费附加等。</w:t>
      </w:r>
    </w:p>
    <w:p>
      <w:pPr>
        <w:spacing w:beforeLines="20" w:afterLines="20"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4.1.8 总承包服务费</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承包人为配合协调发包人进行的施工图纸会审交底，相关单位及周边环境的协调管理，相关施工项目的衔接协调、隐蔽工程及疑难问题的研究处理，分部分项工程质量的相关竣工验收，技术经济资料的归口管理等一系列由施工到竣工验收过程中</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与分包人的工作都必须有总包单位参入协调管理的支出费用。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4.1.9 工程配套费</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专业工程分包人利用总包人的脚手架、施工及生活用水用电、垂直运输机械；分包人施工引起的结构表面修补；临时设施的使用；建筑垃圾的清理外运等所需的费用。</w:t>
      </w:r>
    </w:p>
    <w:p>
      <w:pPr>
        <w:spacing w:beforeLines="20" w:afterLines="20"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4.1.10同义词语</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本章中使用的词语“</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”和“投标人”分别与合同条款中定义的“发包人”和“承包人”同义；就工程量清单而言，“子目”与“项目”同义。</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 工程量差异调整</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4.2.1 工程量清单中的工作内容分类、子目列项、特征描述以及“分部分项工程和单价措施项目清单与计价表”中附带的工程量都不应理解为是对承包（招标）范围以及合同工作内容的唯一的、最终的或全部的定义。</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投标人可对</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提供的工程量清单进行认真细致的复核。这种复核包括对</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提供的工程量清单中的项目编码、项目名称、项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提供的工程量清单存在差异，则投标人应将此类差异的详细情况连同按投标人须知规定提交的要求</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澄清的其他问题一起提交给</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采购单位</w:t>
      </w:r>
      <w:r>
        <w:rPr>
          <w:rFonts w:hint="eastAsia" w:asciiTheme="minorEastAsia" w:hAnsiTheme="minorEastAsia" w:eastAsiaTheme="minorEastAsia" w:cstheme="minorEastAsia"/>
          <w:color w:val="auto"/>
          <w:szCs w:val="21"/>
        </w:rPr>
        <w:t>将根据实际情况决定是否颁发工程量清单的补充和（或）修改文件。</w:t>
      </w:r>
    </w:p>
    <w:p>
      <w:pPr>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4.2.3 如果</w:t>
      </w:r>
      <w:r>
        <w:rPr>
          <w:rFonts w:hint="eastAsia" w:asciiTheme="minorEastAsia" w:hAnsiTheme="minorEastAsia" w:eastAsiaTheme="minorEastAsia" w:cstheme="minorEastAsia"/>
          <w:b/>
          <w:color w:val="auto"/>
          <w:szCs w:val="21"/>
          <w:lang w:eastAsia="zh-CN"/>
        </w:rPr>
        <w:t>采购单位</w:t>
      </w:r>
      <w:r>
        <w:rPr>
          <w:rFonts w:hint="eastAsia" w:asciiTheme="minorEastAsia" w:hAnsiTheme="minorEastAsia" w:eastAsiaTheme="minorEastAsia" w:cstheme="minorEastAsia"/>
          <w:b/>
          <w:color w:val="auto"/>
          <w:szCs w:val="21"/>
        </w:rPr>
        <w:t>在检查投标人根据上文第4.2.2项提交的工程量差异问题后认为没有必要对工程量清单进行补充和（或）修改，或者</w:t>
      </w:r>
      <w:r>
        <w:rPr>
          <w:rFonts w:hint="eastAsia" w:asciiTheme="minorEastAsia" w:hAnsiTheme="minorEastAsia" w:eastAsiaTheme="minorEastAsia" w:cstheme="minorEastAsia"/>
          <w:b/>
          <w:color w:val="auto"/>
          <w:szCs w:val="21"/>
          <w:lang w:eastAsia="zh-CN"/>
        </w:rPr>
        <w:t>采购单位</w:t>
      </w:r>
      <w:r>
        <w:rPr>
          <w:rFonts w:hint="eastAsia" w:asciiTheme="minorEastAsia" w:hAnsiTheme="minorEastAsia" w:eastAsiaTheme="minorEastAsia" w:cstheme="minorEastAsia"/>
          <w:b/>
          <w:color w:val="auto"/>
          <w:szCs w:val="21"/>
        </w:rPr>
        <w:t>根据上文第4.2.2项对工程量清单进行了补充和（或）修改，但投标人认为工程量清单中的工程量依然存在差异，则此类差异不再提交</w:t>
      </w:r>
      <w:r>
        <w:rPr>
          <w:rFonts w:hint="eastAsia" w:asciiTheme="minorEastAsia" w:hAnsiTheme="minorEastAsia" w:eastAsiaTheme="minorEastAsia" w:cstheme="minorEastAsia"/>
          <w:b/>
          <w:color w:val="auto"/>
          <w:szCs w:val="21"/>
          <w:lang w:eastAsia="zh-CN"/>
        </w:rPr>
        <w:t>采购单位</w:t>
      </w:r>
      <w:r>
        <w:rPr>
          <w:rFonts w:hint="eastAsia" w:asciiTheme="minorEastAsia" w:hAnsiTheme="minorEastAsia" w:eastAsiaTheme="minorEastAsia" w:cstheme="minorEastAsia"/>
          <w:b/>
          <w:color w:val="auto"/>
          <w:szCs w:val="21"/>
        </w:rPr>
        <w:t>答疑和修正，而是直接按</w:t>
      </w:r>
      <w:r>
        <w:rPr>
          <w:rFonts w:hint="eastAsia" w:asciiTheme="minorEastAsia" w:hAnsiTheme="minorEastAsia" w:eastAsiaTheme="minorEastAsia" w:cstheme="minorEastAsia"/>
          <w:b/>
          <w:color w:val="auto"/>
          <w:szCs w:val="21"/>
          <w:lang w:eastAsia="zh-CN"/>
        </w:rPr>
        <w:t>采购单位</w:t>
      </w:r>
      <w:r>
        <w:rPr>
          <w:rFonts w:hint="eastAsia" w:asciiTheme="minorEastAsia" w:hAnsiTheme="minorEastAsia" w:eastAsiaTheme="minorEastAsia" w:cstheme="minorEastAsia"/>
          <w:b/>
          <w:color w:val="auto"/>
          <w:szCs w:val="21"/>
        </w:rPr>
        <w:t>提供的工程量清单（包括</w:t>
      </w:r>
      <w:r>
        <w:rPr>
          <w:rFonts w:hint="eastAsia" w:asciiTheme="minorEastAsia" w:hAnsiTheme="minorEastAsia" w:eastAsiaTheme="minorEastAsia" w:cstheme="minorEastAsia"/>
          <w:b/>
          <w:color w:val="auto"/>
          <w:szCs w:val="21"/>
          <w:lang w:eastAsia="zh-CN"/>
        </w:rPr>
        <w:t>采购单位</w:t>
      </w:r>
      <w:r>
        <w:rPr>
          <w:rFonts w:hint="eastAsia" w:asciiTheme="minorEastAsia" w:hAnsiTheme="minorEastAsia" w:eastAsiaTheme="minorEastAsia" w:cstheme="minorEastAsia"/>
          <w:b/>
          <w:color w:val="auto"/>
          <w:szCs w:val="21"/>
        </w:rPr>
        <w:t>可能的补充和（或）修改）进行投标报价。投标人在按照工程量清单进行报价时，除按照本节</w:t>
      </w:r>
      <w:r>
        <w:rPr>
          <w:rFonts w:hint="eastAsia" w:asciiTheme="minorEastAsia" w:hAnsiTheme="minorEastAsia" w:eastAsiaTheme="minorEastAsia" w:cstheme="minorEastAsia"/>
          <w:b/>
          <w:color w:val="auto"/>
          <w:szCs w:val="21"/>
          <w:lang w:val="en-US" w:eastAsia="zh-CN"/>
        </w:rPr>
        <w:t xml:space="preserve">  </w:t>
      </w:r>
      <w:r>
        <w:rPr>
          <w:rFonts w:hint="eastAsia" w:asciiTheme="minorEastAsia" w:hAnsiTheme="minorEastAsia" w:eastAsiaTheme="minorEastAsia" w:cstheme="minorEastAsia"/>
          <w:b/>
          <w:color w:val="auto"/>
          <w:szCs w:val="21"/>
        </w:rPr>
        <w:t>3.7.2项要求对</w:t>
      </w:r>
      <w:r>
        <w:rPr>
          <w:rFonts w:hint="eastAsia" w:asciiTheme="minorEastAsia" w:hAnsiTheme="minorEastAsia" w:eastAsiaTheme="minorEastAsia" w:cstheme="minorEastAsia"/>
          <w:b/>
          <w:color w:val="auto"/>
          <w:szCs w:val="21"/>
          <w:lang w:eastAsia="zh-CN"/>
        </w:rPr>
        <w:t>采购单位</w:t>
      </w:r>
      <w:r>
        <w:rPr>
          <w:rFonts w:hint="eastAsia" w:asciiTheme="minorEastAsia" w:hAnsiTheme="minorEastAsia" w:eastAsiaTheme="minorEastAsia" w:cstheme="minorEastAsia"/>
          <w:b/>
          <w:color w:val="auto"/>
          <w:szCs w:val="21"/>
        </w:rPr>
        <w:t>提供的措施项目清单的内容进行细化或增减外，不得改变（包括对工程量清单的项目编码、项目名称、项目特征描述、计量单位以及工程量的任何修改、增加或减少）</w:t>
      </w:r>
      <w:r>
        <w:rPr>
          <w:rFonts w:hint="eastAsia" w:asciiTheme="minorEastAsia" w:hAnsiTheme="minorEastAsia" w:eastAsiaTheme="minorEastAsia" w:cstheme="minorEastAsia"/>
          <w:b/>
          <w:color w:val="auto"/>
          <w:szCs w:val="21"/>
          <w:lang w:eastAsia="zh-CN"/>
        </w:rPr>
        <w:t>采购单位</w:t>
      </w:r>
      <w:r>
        <w:rPr>
          <w:rFonts w:hint="eastAsia" w:asciiTheme="minorEastAsia" w:hAnsiTheme="minorEastAsia" w:eastAsiaTheme="minorEastAsia" w:cstheme="minorEastAsia"/>
          <w:b/>
          <w:color w:val="auto"/>
          <w:szCs w:val="21"/>
        </w:rPr>
        <w:t>提供的分部分项工程量清单和其他项目清单。即使按照图纸和招标范围的约定并不存在的项目，只要在</w:t>
      </w:r>
      <w:r>
        <w:rPr>
          <w:rFonts w:hint="eastAsia" w:asciiTheme="minorEastAsia" w:hAnsiTheme="minorEastAsia" w:eastAsiaTheme="minorEastAsia" w:cstheme="minorEastAsia"/>
          <w:b/>
          <w:color w:val="auto"/>
          <w:szCs w:val="21"/>
          <w:lang w:eastAsia="zh-CN"/>
        </w:rPr>
        <w:t>采购单位</w:t>
      </w:r>
      <w:r>
        <w:rPr>
          <w:rFonts w:hint="eastAsia" w:asciiTheme="minorEastAsia" w:hAnsiTheme="minorEastAsia" w:eastAsiaTheme="minorEastAsia" w:cstheme="minorEastAsia"/>
          <w:b/>
          <w:color w:val="auto"/>
          <w:szCs w:val="21"/>
        </w:rPr>
        <w:t>提供的分部分项工程量清单中已经列明，投标人都需要对其报价，并纳入投标总价的计算。</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4.3 暂列金额和暂估价</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4.3.1 “暂列金额明细表”中所列暂列金额（不包括计日工金额）中已经包含与其对应的管理费、利润、规费和税金。</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4.3.2 “材料（工程设备）暂估单价及调整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4.3.3专业工程暂估价及结算价表中所列的专业工程暂估价已经包含与其对应的管理费、利润，但不含规费和税金。投标人应按本招标文件规定将此类暂估价直接纳入其他项目清单的投标价格并计取相应的税金。除按本招标文件规定将此类暂估价纳入其他项目清单的投标价格并计取相应的规费和税金以外，投标人还需要根据招标文件规定的内容考虑相应的总承包服务费以及与总承包服务费有关的规费和税金。</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4.3.4 以暂估价形式包括在总承包范围内的工程、货物、服务属于依法必须进行招标的项目范围且达到国家规定规模标准的，应当依法进行招标。 </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4.4 其他补充说明</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4.4.1 工程计量时，若发现工程量清单中出现漏项、工程量计算偏差，以及工程变更引起工程量的增减，应按承包人在履行合同义务过程中实际完成的工程量计算。</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4.4.2 若施工中出现施工图纸（含设计变更）与工程量清单项目特征描述不符的，应按新的项目特征确定相应工程量清单项目的综合单价。</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4.4.3 因分部分项工程量清单漏项或非承包人原因的工程变更，造成增加新的工程量清单项目或工程量清单数量的增减，其相应的综合单价按下列方法确定：</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（1）当分部分项工程量变更后调增量小于原工程量的15%（含15%）时，其综合单价应按照原综合单价确定。</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当分部分项工程量变更后的调增量大于原工程量的15%以上部分，或由于设计变更引起新增项目时，其综合单价应按照湖南省建设行政主管部门颁发的建设工程消耗量标准、取费标准、计费程序、人工工资单价及工程造价管理机构发布的工程造价信息（工程造价信息没有发布的参照市场价）确定，但投标人投标报价时的优惠比率应予保持。</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（3）当分部分项工程量变更后调减的工程量以及因设计变更被取消的项目，其综合单价应按照原综合单价确定。</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4.4.4 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提出适当的措施费变更，经发包人确认后调整。</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4.4.5 若施工期内市场价格波动超出一定幅度时，应按湖南省建设行政主管部门或其授权的工程造价管理机构的规定调整，调整方法为参照湘建价[2014]113号文。</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4.4.6 因不可抗力事件导致的费用，发、承包双方应按以下原则分别承担并调整工程价款。</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（1）工程本身的损害、因工程损害导致第三方人员伤亡和财产损失以及运至施工场地用于施工的材料和待安装的设备的损害，由发包人承担；</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（2）发包人、承包人人员伤亡由其所在单位负责，并承担相应费用；</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（3）承包人的施工机械设备损坏及停工损失由承包人承担；</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（4）停工期间，承包人应发包人要求留在施工场地的必要的管理人员及保卫人员的费用，由发包人承担；</w:t>
      </w:r>
    </w:p>
    <w:p>
      <w:pPr>
        <w:widowControl/>
        <w:spacing w:line="360" w:lineRule="auto"/>
        <w:ind w:firstLine="420" w:firstLineChars="200"/>
        <w:jc w:val="lef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（5）工程所需清理、修复费用，由发包人承担。</w:t>
      </w:r>
    </w:p>
    <w:p>
      <w:pPr>
        <w:adjustRightInd w:val="0"/>
        <w:snapToGrid w:val="0"/>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bCs/>
          <w:color w:val="auto"/>
          <w:szCs w:val="21"/>
        </w:rPr>
        <w:t>投标单位在领取招标工程量清单时，必须对工程量清单详细复核，如发现清单有漏项或工程量有较大出入，必须以书面形式在招标文件截止3个工作日前向</w:t>
      </w:r>
      <w:r>
        <w:rPr>
          <w:rFonts w:hint="eastAsia" w:asciiTheme="minorEastAsia" w:hAnsiTheme="minorEastAsia" w:eastAsiaTheme="minorEastAsia" w:cstheme="minorEastAsia"/>
          <w:bCs/>
          <w:color w:val="auto"/>
          <w:szCs w:val="21"/>
          <w:lang w:eastAsia="zh-CN"/>
        </w:rPr>
        <w:t>采购单位</w:t>
      </w:r>
      <w:r>
        <w:rPr>
          <w:rFonts w:hint="eastAsia" w:asciiTheme="minorEastAsia" w:hAnsiTheme="minorEastAsia" w:eastAsiaTheme="minorEastAsia" w:cstheme="minorEastAsia"/>
          <w:bCs/>
          <w:color w:val="auto"/>
          <w:szCs w:val="21"/>
        </w:rPr>
        <w:t>提交；如投标时未提出，则视同认可招标工程量清单为全部施工图纸范围（若有图纸的话），在不发生图纸变更或业主提出增项的情况下，工程量清单及工程数量不做任何调整。</w:t>
      </w:r>
    </w:p>
    <w:p>
      <w:pPr>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rPr>
        <w:t>6、请投标单位务必对施工现场和周围环境进行踏勘，以获取投标人编制有关投标文件和签署合同时所需的有关资料。踏勘现场所发生的费用由投标人自行承担，投标人并应对由此次踏勘现场而造成的死亡、人身伤害、财产损失、损害以及任何其它损失、损害和引起的费用和开支承担责任。</w:t>
      </w:r>
    </w:p>
    <w:p>
      <w:pPr>
        <w:spacing w:line="400" w:lineRule="exact"/>
        <w:ind w:firstLine="420"/>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lang w:eastAsia="zh-CN"/>
        </w:rPr>
        <w:t>八、本项目工程量清单</w:t>
      </w:r>
    </w:p>
    <w:p>
      <w:pPr>
        <w:pStyle w:val="17"/>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eastAsia="zh-CN"/>
        </w:rPr>
        <w:t>电气工程清单：</w:t>
      </w:r>
    </w:p>
    <w:tbl>
      <w:tblPr>
        <w:tblStyle w:val="64"/>
        <w:tblW w:w="91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2"/>
        <w:gridCol w:w="1290"/>
        <w:gridCol w:w="1142"/>
        <w:gridCol w:w="4154"/>
        <w:gridCol w:w="1096"/>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91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sz w:val="28"/>
                <w:szCs w:val="28"/>
                <w:u w:val="none"/>
              </w:rPr>
              <w:t>E.1 单位工程工程量清单与造价表(投标报价)(一般计税法)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项目编码</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项目名称</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项目特征描述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计量单位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强电工程</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1.外接线从图示手孔井起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配电箱AL1;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半周长,1.5m内;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3.安装方式: 嵌入式;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4.备注: 现场监控探测器放入火灾监控系统;</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配电箱AL2;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半周长,1.0m内;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3.安装方式: 嵌入式;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4.备注: 现场监控探测器放入火灾监控系统;</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配电箱AL3;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半周长,1.5m内;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3.安装方式: 嵌入式;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4.备注: 现场监控探测器放入火灾监控系统;</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插座箱CX;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半周长,0.5m内;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双电源箱ATPY7;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半周长,1.5m内;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电表箱APX;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半周长,1.0m内;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电表箱APXE;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半周长,1.0m内;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照明配电箱BXJS;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半周长,1.0m内;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030404017006</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双电源箱ATZ;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半周长,1.5m内;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030404017007</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配电箱BXYP;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半周长,1.0m内;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030404017008</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配电箱BXZP;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半周长,1.0m内;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030404017009</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双电源箱ATHC;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半周长,1.5m内;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030404017010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双电源箱ALEZ;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半周长,1.5m内;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030404017011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配电箱</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配电箱APDT;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半周长,1.0m内;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030412004001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装饰灯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块式吊灯;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不详暂定15W;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4.安装形式: 不详暂定吊杆式;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5.图: V1.0;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030412005001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荧光灯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LED灯管;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不详暂定15W;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4.安装形式: 不详暂定吊杆式;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5.图: V1.0;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普通灯具</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圆形吸顶灯;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3.规格: 不详暂定灯罩直径250mm;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030412001002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普通灯具</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LED方形嵌入式吸顶灯;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3.规格: 不详;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030412004002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装饰灯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筒灯;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不详暂定灯罩直径150mm;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4.安装形式: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030412004003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装饰灯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y型装饰吊灯;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3.规格: 不详;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030412004007</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装饰灯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LED灯带;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不详;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不详;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4.安装形式: 顶棚灯槽内;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030404033001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风扇</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侧回风排气扇;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2.安装方式: 嵌入式;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030412004004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装饰灯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应急照明灯;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915SA1P(915VRE) 9W 1h;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3.安装形式: 墙壁式 安装高度2.0m;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030412004005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装饰灯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安全出口灯;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HW-128FA-1 8W 应急1.5h;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3.安装形式: 墙壁式 安装高度2.4m;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030412004006</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装饰灯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疏散指示灯;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HW-128YGA-3 3W 应急1.5h;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3.安装形式: 墙壁式 安装高度0.6m;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030412005002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荧光灯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应急单管荧光灯;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TMS018/136+Y1*36W应急件;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3.安装形式: 吸顶式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030412005003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荧光灯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应急双管荧光灯;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TMS018/2T35+Y1*35W应急件;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3.安装形式: 吸顶式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030412001003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普通灯具</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井道座灯头;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不详;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暂定30W;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4.类型: 壁装;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030404034001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照明开关</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单位单极开关;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S31/1/2B;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4.安装方式: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030404034001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照明开关</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两位单极开关;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S32/1/2CY;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4.安装方式: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030404034001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照明开关</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三位单极开关;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S33/1/2CY;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4.安装方式: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030404034002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照明开关</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声光控开关;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AP86KSGY100;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4.安装方式: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030404035001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插座</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安全插座;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RL86Z223A10;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4.安装方式: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030404035001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插座</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3孔单相空调插座;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15A;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4.安装方式: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030404035001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插座</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防水插座;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SK/708B(带保护门)+SK/A928;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4.安装方式: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030404035001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插座</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单相地插座;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 /;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15A;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4.安装方式: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030411006001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接线盒</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开关插座盒;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塑料;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86型;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4.安装形式: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030411003001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桥架</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钢制防火桥架（2隔板）;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2.规格: FQH[(150+50)*100];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穿线管（进户）;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镀锌钢管;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SC100;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暗敷（埋地）;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穿线管（进户）;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镀锌钢管;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SC100;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穿线管（进户）;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镀锌钢管;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SC70;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暗敷（埋地）;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穿线管;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镀锌钢管;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SC70;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穿线管（进户）;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镀锌钢管;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SC50;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暗敷（埋地）;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穿线管;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镀锌钢管;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SC50;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穿线管;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镀锌钢管;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SC40;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穿线管;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镀锌钢管;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SC32;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穿线管;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镀锌钢管;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SC20;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1.材质: 聚氯乙烯半硬质管;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FPC20;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3.配置形式: 暗敷;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2620.60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030411001002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配管</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电线管;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镀锌;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KBG20;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4.配置形式: 暗敷;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030411006002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接线盒</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接线盒（带盖）;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塑料;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3.规格: 86型;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4.安装形式: 暗装;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WDZN-YJY-4x150+1x95;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铜芯阻燃低烟无卤电力电缆;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192.913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WDZ-YJY(4X50+1X25);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铜芯阻燃低烟无卤电力电缆;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44.615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WDZ-YJY(4X70+1X35);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铜芯阻燃低烟无卤电力电缆;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WDZ-YJY(4X25+1X16);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铜芯阻燃低烟无卤电力电缆;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WDZ-YJY(5X16);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铜芯阻燃低烟无卤电力电缆;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WDZ-YJY(5X10);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铜芯阻燃低烟无卤电力电缆;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64.938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WDZN-YJY-(5x4);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铜芯阻燃低烟无卤电力电缆;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WDZN-YJY-4x6;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铜芯阻燃低烟无卤电力电缆;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WDZ-YJ(F)E(5X10);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铜芯低烟无卤阻燃辐照电缆;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NG-A(5x16);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矿物绝缘柔性耐火电缆;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45.593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030408001002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NG-A-(5x6);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矿物绝缘柔性耐火电缆;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3.敷设方式、部位: 管内、桥架;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030408006001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电力电缆头</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户内简包式电力电缆头;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150mm2;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3.安装部位: 箱内;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4.电压等级（kV）: 0.6;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030408006002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电力电缆头</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户内简包式电力电缆头;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70mm2;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3.安装部位: 箱内;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4.电压等级（kV）: 0.6;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030408006002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电力电缆头</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户内简包式电力电缆头;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50mm2;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3.安装部位: 箱内;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4.电压等级（kV）: 0.6;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030408006001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电力电缆头</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户内简包式电力电缆头;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25mm2;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3.安装部位: 箱内;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4.电压等级（kV）: 0.6;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030408006001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电力电缆头</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户内简包式电力电缆头;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16mm2;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3.安装部位: 箱内;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4.电压等级（kV）: 0.6;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030408006001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电力电缆头</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户内简包式电力电缆头;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 10mm2内;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3.安装部位: 箱内;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4.电压等级（kV）: 0.6;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030411004002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配线</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WDZ-BYJ-2.5;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阻燃低烟无卤电力电线;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3.配线部位: 管内;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4.配线线制: 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4608.90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030411004005</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配线</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WDZN-BYJ-2.5;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耐火低烟无卤电力电线;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3.配线部位: 管内;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4.配线线制: 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030411004003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配线</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WDZ-BYJ-4;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阻燃低烟无卤电力电线;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3.配线部位: 管内;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4.配线线制: 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3528.60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030411004004</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配线</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NH-BYJ-2.5;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耐火交联电线;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3.配线部位: 管内;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4.配线线制: 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330.90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030411004006</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配线</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 WDZ-4;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阻燃低烟无卤电力电线;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3.配线部位: 管内;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4.配线线制: 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030409002001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接地母线</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室内接地母线;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2.规格: 镀锌扁钢40*4;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030409004001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均压环</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1.名称: 等电位箱内连接;</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处</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030409003001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避雷引下线</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接地引下线;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2.规格: BV-(1*35);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030409008001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等电位端子箱、测试板</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1.名称: LEB等电位联结箱;</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030414002001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送配电装置系统</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电气系统调试;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2.电压等级（kV）: 0.6KV内;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系统</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030406006001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低压交流异步电动机</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防排烟风机(PY-1)检查接线;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2.容量(kw): 7.5KW;</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030414011001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接地装置</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1.名称: 接地系统调试;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系统</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bl>
    <w:p>
      <w:pPr>
        <w:rPr>
          <w:rFonts w:hint="eastAsia" w:asciiTheme="minorEastAsia" w:hAnsiTheme="minorEastAsia" w:eastAsiaTheme="minorEastAsia" w:cstheme="minorEastAsia"/>
          <w:color w:val="auto"/>
          <w:lang w:eastAsia="zh-CN"/>
        </w:rPr>
      </w:pPr>
    </w:p>
    <w:tbl>
      <w:tblPr>
        <w:tblStyle w:val="64"/>
        <w:tblW w:w="91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5"/>
        <w:gridCol w:w="3073"/>
        <w:gridCol w:w="1512"/>
        <w:gridCol w:w="1627"/>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91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8"/>
                <w:szCs w:val="28"/>
                <w:u w:val="none"/>
                <w:lang w:val="en-US" w:eastAsia="zh-CN" w:bidi="ar"/>
              </w:rPr>
              <w:t>F.1 其他项目清单与计价汇总表(一般计税法)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项目名称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金额(元)</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结算金额(元)</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暂列金额</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67252.16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暂估价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材料（工程设备）暂估价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83599.74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专业工程暂估价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计日工</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总承包服务费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索赔与现场签证</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1+2.2+3+4+5项合计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67252.16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1+2.2+3+4+5项合计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销项税额</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6725.22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(6项)×10%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附加税费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266.32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(6+7项)×费率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3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合计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74243.70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(6+7+8)项合计</w:t>
            </w:r>
          </w:p>
        </w:tc>
      </w:tr>
    </w:tbl>
    <w:p>
      <w:pPr>
        <w:pStyle w:val="2"/>
        <w:rPr>
          <w:rFonts w:hint="eastAsia" w:asciiTheme="minorEastAsia" w:hAnsiTheme="minorEastAsia" w:eastAsiaTheme="minorEastAsia" w:cstheme="minorEastAsia"/>
          <w:color w:val="auto"/>
          <w:lang w:eastAsia="zh-CN"/>
        </w:rPr>
      </w:pPr>
    </w:p>
    <w:tbl>
      <w:tblPr>
        <w:tblStyle w:val="64"/>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5"/>
        <w:gridCol w:w="3796"/>
        <w:gridCol w:w="1227"/>
        <w:gridCol w:w="1408"/>
        <w:gridCol w:w="1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0" w:hRule="atLeast"/>
        </w:trPr>
        <w:tc>
          <w:tcPr>
            <w:tcW w:w="91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8"/>
                <w:szCs w:val="28"/>
                <w:u w:val="none"/>
                <w:lang w:val="en-US" w:eastAsia="zh-CN" w:bidi="ar"/>
              </w:rPr>
              <w:t>F.3 暂列金额明细表(一般计税法)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3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项 目 名 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计量单位</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暂列金额(元)</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3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不可预见费</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62768.68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3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扬尘治理费</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4483.48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67252.16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bl>
    <w:p>
      <w:pPr>
        <w:rPr>
          <w:rFonts w:hint="eastAsia" w:asciiTheme="minorEastAsia" w:hAnsiTheme="minorEastAsia" w:eastAsiaTheme="minorEastAsia" w:cstheme="minorEastAsia"/>
          <w:color w:val="auto"/>
        </w:rPr>
      </w:pPr>
    </w:p>
    <w:tbl>
      <w:tblPr>
        <w:tblStyle w:val="64"/>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2107"/>
        <w:gridCol w:w="949"/>
        <w:gridCol w:w="1047"/>
        <w:gridCol w:w="1235"/>
        <w:gridCol w:w="1373"/>
        <w:gridCol w:w="1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5" w:hRule="atLeast"/>
        </w:trPr>
        <w:tc>
          <w:tcPr>
            <w:tcW w:w="9174" w:type="dxa"/>
            <w:gridSpan w:val="7"/>
            <w:tcBorders>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40"/>
                <w:szCs w:val="40"/>
                <w:u w:val="none"/>
              </w:rPr>
            </w:pPr>
            <w:r>
              <w:rPr>
                <w:rFonts w:hint="eastAsia" w:asciiTheme="minorEastAsia" w:hAnsiTheme="minorEastAsia" w:eastAsiaTheme="minorEastAsia" w:cstheme="minorEastAsia"/>
                <w:i w:val="0"/>
                <w:color w:val="auto"/>
                <w:kern w:val="0"/>
                <w:sz w:val="28"/>
                <w:szCs w:val="28"/>
                <w:u w:val="none"/>
                <w:lang w:val="en-US" w:eastAsia="zh-CN" w:bidi="ar"/>
              </w:rPr>
              <w:t>F.4 材料(工程设备)暂估单价及调整表 (一般计税法)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2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材料(工程设备)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名称、规格、型号</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计量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单位</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数量</w:t>
            </w:r>
          </w:p>
        </w:tc>
        <w:tc>
          <w:tcPr>
            <w:tcW w:w="324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暂估(元)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暂估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确认</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单价</w:t>
            </w:r>
          </w:p>
        </w:tc>
        <w:tc>
          <w:tcPr>
            <w:tcW w:w="18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成套配电箱AL3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3458.98</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配电箱BXYP</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2242.73</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配电箱BXZP</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1380.14</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双电源箱ATHC</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6728.20</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双电源箱ALEZ</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5779.35</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配电箱APDT</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1983.96</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照明配电箱BXJS</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1293.88</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成套配电箱AL2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2674.03</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双电源箱ATPY7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3691.88</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电表箱APX</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2027.09</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电表箱APXE</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2027.09</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成套配电箱AL1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2328.99</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双电源箱ATZ</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8608.64</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单相地插座15A</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套</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129.39</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块式吊灯</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套</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103.51</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y型装饰吊灯</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套</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267.40</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bl>
    <w:p>
      <w:pPr>
        <w:adjustRightInd w:val="0"/>
        <w:snapToGrid w:val="0"/>
        <w:ind w:firstLine="643" w:firstLineChars="200"/>
        <w:jc w:val="center"/>
        <w:outlineLvl w:val="0"/>
        <w:rPr>
          <w:rFonts w:hint="eastAsia" w:asciiTheme="minorEastAsia" w:hAnsiTheme="minorEastAsia" w:eastAsiaTheme="minorEastAsia" w:cstheme="minorEastAsia"/>
          <w:b/>
          <w:color w:val="auto"/>
          <w:sz w:val="32"/>
          <w:szCs w:val="32"/>
        </w:rPr>
      </w:pPr>
    </w:p>
    <w:p>
      <w:pPr>
        <w:pStyle w:val="2"/>
        <w:ind w:left="0" w:leftChars="0" w:firstLine="0" w:firstLineChars="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lang w:eastAsia="zh-CN"/>
        </w:rPr>
        <w:t>给排水工程清单：</w:t>
      </w:r>
    </w:p>
    <w:tbl>
      <w:tblPr>
        <w:tblStyle w:val="64"/>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1385"/>
        <w:gridCol w:w="1916"/>
        <w:gridCol w:w="3392"/>
        <w:gridCol w:w="819"/>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9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8"/>
                <w:szCs w:val="28"/>
                <w:u w:val="none"/>
                <w:lang w:val="en-US" w:eastAsia="zh-CN" w:bidi="ar"/>
              </w:rPr>
              <w:t>E.1 单位工程工程量清单与造价表(投标报价)(一般计税法)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序号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项目编码</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项目名称</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项目特征描述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 xml:space="preserve">计量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给排水工程</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1、给水从图示水表井起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031003013001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水表</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室外;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2.型号、规格: DN50;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3.连接形式: 法兰;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4.附件配置: 无旁通管带止回阀;</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040504001001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砌筑井</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砖砌水表井;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2.管径: DN50;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3.井深: 700mm;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031001006001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2.介质: 给水;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3.材质、规格: PPR50;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4.连接形式: 热熔连接;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5.压力试验: 水压试验及消毒冲洗;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031001006003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2.介质: 给水;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3.材质、规格: PPR40;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4.连接形式: 热熔连接;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5.压力试验: 水压试验及消毒冲洗;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031001006004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2.介质: 给水;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3.材质、规格: PPR32;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4.连接形式: 热熔连接;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5.压力试验: 水压试验及消毒冲洗;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031001006005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2.介质: 给水;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3.材质、规格: PPR25;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4.连接形式: 热熔连接;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5.压力试验: 水压试验及消毒冲洗;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031001006006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2.介质: 给水;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3.材质、规格: PPR20;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4.连接形式: 热熔连接;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5.压力试验: 水压试验及消毒冲洗;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031002003001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1.名称、类型: 穿楼板套管DN25~DN40;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钢质;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3.规格: D65;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031003001001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螺纹阀门</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1.类型: 截止阀;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2.规格、压力等级: DN40;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3.连接形式: 螺纹;</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031003001002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螺纹阀门</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1.类型: 截止阀;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2.规格、压力等级: DN32;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3.连接形式: 螺纹;</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031003001002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螺纹阀门</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1.类型: 截止阀;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2.规格、压力等级: DN25;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3.连接形式: 螺纹;</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031003001002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螺纹阀门</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1.类型: 截止阀;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2.规格、压力等级: DN20;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3.连接形式: 螺纹;</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031004003001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洗脸盆</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1.规格、类型: 台式洗脸盆;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2.附件名称、数量: 红外感应龙头;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031004006001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大便器</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1.规格、类型: 蹲式大便器;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2.附件名称、数量: 瓷低水箱6L;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031004006002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大便器</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1.规格、类型: 带水箱坐便器;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2.附件名称、数量: 水箱6L;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031004007001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小便器</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1.规格、类型: 壁挂小便器;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2.附件名称、数量: 红外线感应式;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 /;</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031001006007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2.介质: 污水;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3.材质、规格: UPVC110;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4.连接形式: 胶粘连接;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5.压力试验: 定额包含灌水试验;</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031001006007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2.介质: 污水;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3.材质、规格: UPVC75;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4.连接形式: 胶粘连接;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5.压力试验: 定额包含灌水试验;</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031001006007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2.介质: 污水;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3.材质、规格: UPVC50;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4.连接形式: 胶粘连接;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5.压力试验: 定额包含灌水试验;</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031002003002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1.名称、类型: 穿楼板管道套管DN110;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2.材质: 钢质;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3.规格: D150;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031004014001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给、排水附(配)件</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1.材质: 铸铁地漏;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2.型号、规格: DN75;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031004014002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给、排水附(配)件</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1.材质: 铸铁清扫口;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2.型号、规格: DN100;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031004014002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给、排水附(配)件</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1.材质: 铸铁清扫口;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2.型号、规格: DN50;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010101003001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挖沟槽土方</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1.土壤类别: 坚土;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2.挖土深度: 0.7m;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48.335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010103001001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回填方</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1.密实度要求: 夯填;</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48.335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室外排水管道工程</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1、检查井按图纸材料表为塑料井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2、塑料检查井未注明规格，按标注图暂定PVC-W-WG-315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031001006008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塑料管</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1.安装部位: 室外;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2.介质: 污水;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3.材质、规格: HDPE管DN300;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4.连接形式: 承插胶圈接口;</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040504003001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塑料检查井</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 塑料检查井（有流槽90°直通弯头井座）;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2.井座: L-90C-315-200;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3.检查井材质、规格: 聚丙烯L-90C-315-200;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4.井筒、井盖、井圈材质及规格: PVC-W-WG-315;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5.垫层: 中粗砂（900*900mm）;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6.平均井筒深: 1.64m;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7.内容: 井座、井筒、井盖、井筒胶圈、接口胶圈;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8.图集: 08SS523;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9.备注: 设计不详暂定;</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040504003003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塑料检查井</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1.名称 : 塑料检查井（有流槽90°四通井座）;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2.井座: L-90Z-315-200;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3.检查井材质、规格: 聚丙烯L-90T-315-200;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4.井筒、井盖、井圈材质及规格: PVC-W-WG-315;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5.垫层: 中粗砂（900*900mm）;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6.平均井筒深: 1.56m;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7.内容: 井座、井筒、井盖、井筒胶圈、接口胶圈;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8.图集: 08SS523;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9.备注: 设计不详暂定;</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010101003002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挖沟槽土方</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1.土壤类别: 挖掘机挖坚土;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2.挖土深度: 平均1.81;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3.弃土运距: 就地堆放统一外运;</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010101004001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挖基坑土方</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1.土壤类别: 坚土;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2.挖土深度: 平均2.07m;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54.802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010103001002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回填方</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1.密实度要求: 人工夯填;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2.填方材料品种: 挖掘土;</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326.851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031301017001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脚手架搭拆</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bl>
    <w:p>
      <w:pPr>
        <w:pStyle w:val="2"/>
        <w:ind w:left="0" w:leftChars="0" w:firstLine="0" w:firstLineChars="0"/>
        <w:rPr>
          <w:rFonts w:hint="eastAsia" w:asciiTheme="minorEastAsia" w:hAnsiTheme="minorEastAsia" w:eastAsiaTheme="minorEastAsia" w:cstheme="minorEastAsia"/>
          <w:b/>
          <w:color w:val="auto"/>
          <w:sz w:val="24"/>
          <w:szCs w:val="24"/>
          <w:lang w:eastAsia="zh-CN"/>
        </w:rPr>
      </w:pPr>
    </w:p>
    <w:tbl>
      <w:tblPr>
        <w:tblStyle w:val="64"/>
        <w:tblW w:w="8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5"/>
        <w:gridCol w:w="3258"/>
        <w:gridCol w:w="1396"/>
        <w:gridCol w:w="1523"/>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9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8"/>
                <w:szCs w:val="28"/>
                <w:u w:val="none"/>
                <w:lang w:val="en-US" w:eastAsia="zh-CN" w:bidi="ar"/>
              </w:rPr>
              <w:t>F.1 其他项目清单与计价汇总表(一般计税法)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项目名称</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金额(元)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结算金额(元)</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暂列金额</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19719.80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暂估价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材料（工程设备）暂估价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36189.99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专业工程暂估价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计日工</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总承包服务费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索赔与现场签证</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1+2.2+3+4+5项合计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19719.80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1+2.2+3+4+5项合计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销项税额</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1971.98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(6项)×10%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附加税费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78.09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(6+7项)×费率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合计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21769.87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(6+7+8)项合计</w:t>
            </w:r>
          </w:p>
        </w:tc>
      </w:tr>
    </w:tbl>
    <w:p>
      <w:pPr>
        <w:adjustRightInd w:val="0"/>
        <w:snapToGrid w:val="0"/>
        <w:ind w:firstLine="643" w:firstLineChars="200"/>
        <w:jc w:val="center"/>
        <w:outlineLvl w:val="0"/>
        <w:rPr>
          <w:rFonts w:hint="eastAsia" w:asciiTheme="minorEastAsia" w:hAnsiTheme="minorEastAsia" w:eastAsiaTheme="minorEastAsia" w:cstheme="minorEastAsia"/>
          <w:b/>
          <w:color w:val="auto"/>
          <w:sz w:val="32"/>
          <w:szCs w:val="32"/>
        </w:rPr>
      </w:pPr>
    </w:p>
    <w:tbl>
      <w:tblPr>
        <w:tblStyle w:val="64"/>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1"/>
        <w:gridCol w:w="3824"/>
        <w:gridCol w:w="1495"/>
        <w:gridCol w:w="1467"/>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8"/>
                <w:szCs w:val="28"/>
                <w:u w:val="none"/>
                <w:lang w:val="en-US" w:eastAsia="zh-CN" w:bidi="ar"/>
              </w:rPr>
              <w:t>F.3 暂列金额明细表(一般计税法)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项 目 名 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计量单位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暂列金额(元)</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不可预见费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18405.15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扬尘治理费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1314.65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19719.80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bl>
    <w:p>
      <w:pPr>
        <w:pStyle w:val="2"/>
        <w:rPr>
          <w:rFonts w:hint="eastAsia" w:asciiTheme="minorEastAsia" w:hAnsiTheme="minorEastAsia" w:eastAsiaTheme="minorEastAsia" w:cstheme="minorEastAsia"/>
          <w:color w:val="auto"/>
        </w:rPr>
      </w:pPr>
    </w:p>
    <w:tbl>
      <w:tblPr>
        <w:tblStyle w:val="64"/>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5"/>
        <w:gridCol w:w="2279"/>
        <w:gridCol w:w="634"/>
        <w:gridCol w:w="647"/>
        <w:gridCol w:w="686"/>
        <w:gridCol w:w="956"/>
        <w:gridCol w:w="950"/>
        <w:gridCol w:w="609"/>
        <w:gridCol w:w="624"/>
        <w:gridCol w:w="640"/>
        <w:gridCol w:w="641"/>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6" w:hRule="atLeast"/>
        </w:trPr>
        <w:tc>
          <w:tcPr>
            <w:tcW w:w="9855" w:type="dxa"/>
            <w:gridSpan w:val="12"/>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40"/>
                <w:szCs w:val="40"/>
                <w:u w:val="none"/>
              </w:rPr>
            </w:pPr>
            <w:r>
              <w:rPr>
                <w:rFonts w:hint="eastAsia" w:asciiTheme="minorEastAsia" w:hAnsiTheme="minorEastAsia" w:eastAsiaTheme="minorEastAsia" w:cstheme="minorEastAsia"/>
                <w:i w:val="0"/>
                <w:color w:val="auto"/>
                <w:kern w:val="0"/>
                <w:sz w:val="28"/>
                <w:szCs w:val="28"/>
                <w:u w:val="none"/>
                <w:lang w:val="en-US" w:eastAsia="zh-CN" w:bidi="ar"/>
              </w:rPr>
              <w:t>F.4 材料(工程设备)暂估单价及调整表  (一般计税法)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2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材料(工程设备)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名称、规格、型号</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计量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单位</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数量</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暂估(元)</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确认(元)</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差额±(元)</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暂估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确认</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合价</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合价</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单价</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合价</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其他材料费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元</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瓷蹲式大便器（全套）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560.68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带水箱坐便器（全套）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1449.15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台式洗脸盆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733.20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壁挂式小便器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672.82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感应式冲洗阀 DN15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个</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241.53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bl>
    <w:p>
      <w:pPr>
        <w:pStyle w:val="2"/>
        <w:rPr>
          <w:rFonts w:hint="eastAsia" w:asciiTheme="minorEastAsia" w:hAnsiTheme="minorEastAsia" w:eastAsiaTheme="minorEastAsia" w:cstheme="minorEastAsia"/>
          <w:color w:val="auto"/>
          <w:lang w:val="en-US" w:eastAsia="zh-CN"/>
        </w:rPr>
      </w:pPr>
    </w:p>
    <w:p>
      <w:pPr>
        <w:pStyle w:val="2"/>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3、建筑工程清单：</w:t>
      </w:r>
    </w:p>
    <w:tbl>
      <w:tblPr>
        <w:tblStyle w:val="64"/>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1420"/>
        <w:gridCol w:w="2150"/>
        <w:gridCol w:w="2805"/>
        <w:gridCol w:w="67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8"/>
                <w:szCs w:val="28"/>
                <w:u w:val="none"/>
              </w:rPr>
              <w:t>E.1 单位工程工程量清单与造价表(投标报价)(一般计税法)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序号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项目编码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项目名称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项目特征描述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计量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土石方工程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010101002001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挖一般土方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1.土壤类别: 综合;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2.挖土深度: 2M内;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3.原车库内挖除200mm或400mm厚;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010101003002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挖沟槽土方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1.土壤类别: 综合;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2.挖土深度: 0.7M;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3.原车库内条形基础和新增楼梯间基础梁土方;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010101004001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挖基坑土方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1.土壤类别: 综合;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2.挖土深度: 1.2M;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3.原建筑物外新增楼梯间基础部分;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010103001001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回填方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1.填方材料品种: 综合;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2.采用人工回填;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139.645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010103002001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土方外运</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1.废弃料品种: 综合;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2.运距: 10km;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259.271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010103002002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楼面运出垃圾</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1.运出构件名称: 钢筋砼有梁板石渣;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2.原有斜板、斜梁等;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010103002003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钢筋砼石渣外运</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1.废弃料品种: 石渣;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2.运距: 10km;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砌筑工程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011601001001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砖砌体拆除</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1.由于在原有外墙上更换窗户或者门;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2.拆除240mm砖外墙;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3.工程量结算按实;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010401001001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砖基础</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1.砖品种、规格、强度等级: 页岩多孔砖;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2.基础类型: 台阶形;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3.砂浆强度等级: 混合M5.0;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010401004001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多孔砖墙</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1.240mm页岩多孔砖MU7.5;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2.M5混合砂浆砌筑;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3.原有外墙上木窗拆除后恢复外墙;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4.工程量结算按实;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010401004003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多孔砖墙</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1.240mm页岩多孔砖MU7.5;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2.M5混合砂浆砌筑;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3.部位:外墙、楼梯间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367.84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010401004002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多孔砖墙</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1.240mm页岩实心砖MU10.0;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2.M7.5水泥砂浆砌筑;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3.部位:一层设备房间专业公司深化设计部分;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010402001001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轻质隔墙</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1.内隔墙墙厚120mm;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2.除外墙、楼梯间之外的部分;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混凝土及钢筋混凝土工程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011602002001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钢筋混凝土构件拆除</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1.拆除构件名称: 钢筋砼有梁板;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2.原有斜板、斜梁等;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010501001001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垫层</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1.一层地面垫层;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2.砼标号C15;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3.厚度100.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73.823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010404001001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垫层</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010501003001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独立基础</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010501004001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满堂基础</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010502002001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构造柱</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010503001001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基础梁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010503001002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基础梁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010503004001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圈梁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010503005001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过梁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010504001002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直形墙</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010504001001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直形墙</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010505001002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有梁板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010505001001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有梁板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010506001001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直形楼梯</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010502001001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矩形柱</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1.混凝土种类: 商品砼;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2.混凝土强度等级: C35;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圆钢筋 直径6.5mm;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圆钢筋 直径8mm;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010515001003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带肋钢筋 直径6mm;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010515001004</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带肋钢筋 直径8mm;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010515001005</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带肋钢筋 直径10mm;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010515001006</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带肋钢筋 直径12mm;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010515001007</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带肋钢筋 直径14mm;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010515001008</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带肋钢筋 直径16mm;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010515001009</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带肋钢筋 直径18mm;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010515001010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带肋钢筋 直径20mm;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010515001011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现浇构件钢筋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 带肋钢筋 直径25mm;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010515001012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植筋增加费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1.钢筋种类、规格:直径 10内;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010515001013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植筋增加费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1.钢筋种类、规格:直径 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010515001014</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植筋增加费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1.钢筋种类、规格:直径 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010516003001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电渣压力焊接 Φ14～18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04</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金属结构工程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010607005001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砌块墙钢丝网加固</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1.墙体不同基层的材料竖缝及顶部横缝相接处应铺设钢丝网;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05</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保温及防水工程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010903003001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墙面砂浆防水(防潮)</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38.191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010904001001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卫生间平面防水</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1.30厚1：3水泥砂找平;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2.2厚聚氨酯防水涂料;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3.部位：卫生间平面;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010904001002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卫生间立面防水</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1..2厚聚氨酯防水涂料;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2.反边1800mm高;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3.部位：卫生间立面;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240.39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010902003001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屋面刚性层</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1.50厚C20细石混凝土（配Φ4@100*100钢丝网）持钉层;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010902001001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屋面卷材防水</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1.3mm厚SBS改性沥青防水卷材;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2.女儿墙反边250mm高;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011101006001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屋面找平层</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1.20mm厚1：2.5水泥砂浆找平层;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011001001001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保温隔热屋面</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1.40厚挤塑聚苯乙烯泡沫塑料板;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2.30厚轻骨料混凝土找坡;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21"/>
                <w:szCs w:val="21"/>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06</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其他部分</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010401013001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散水 详见11ZJ901 2/7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1.20厚1:2.5水泥砂浆;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2.60厚C15混凝土;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3.素土夯实;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010507003001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砖地沟、明沟 详见11ZJ901 2/7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1.人工挖沟槽;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2.70厚C15混凝土垫层;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3.砖砌体;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4.20厚1:2.5水泥砂浆粉面;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5.预制砼盖板;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010507004002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混凝土贴花岗石面台阶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1.详见11ZJ901 10/9;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2.100厚1:3:6三合土;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3.100厚C15混凝土;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4.20mm厚花岗岩板;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44.786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010401013002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无障碍坡道 详见11ZJ901 1/19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1.花岗岩火烧板坡道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2.20厚1：2水泥砂浆表面扫毛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3.素水泥砂浆一道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4.150厚C15混凝土垫层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5.150厚3：7灰土，宽出面层300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6.素土夯实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011503001001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无障碍坡道扶手 详见13ZJ301 1/17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010902004001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屋面排水管</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1.排水管品种、规格:PVC管 Φ110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2.雨水斗、山墙出水口品种、规格:Φ110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010904004001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地面变形缝</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1.保温板材建筑胶粘贴;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2.5厚热镀锌钢板;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3.一层地面;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010904004002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楼面变形缝</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1.保温板材建筑胶粘贴;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2.5厚热镀锌钢板;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3.二层、三层楼面;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010902008003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天棚变形缝</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1.保温板材建筑胶粘贴;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2.1.5厚不锈钢板;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3.二层、三层天棚;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010902008002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屋面变形缝</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1.保温板材建筑胶粘贴;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 xml:space="preserve">2.1.5厚铝合金板;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3.屋面;</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010902008001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屋面分格缝</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1.保护层分隔缝参照图集15ZJ201 1/29 4/29;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321.825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垫层模板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40.977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011702001002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独立基础模板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011702001003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满堂基础模板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011702003001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构造柱模板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128.608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68</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011702009001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过梁模板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69</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011702005001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基础梁模板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011702008001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圈梁模板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63.842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71</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011702011001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直形墙模板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377.203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72</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011702014001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有梁板模板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706.951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011702024001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楼梯模板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74</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011702002001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矩形柱模板</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75</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011703001001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垂直运输</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1.建筑物建筑类型及结构形式: 框架多层;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2.建筑物檐口高度、层数: 20m以内;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2553.17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011701001001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综合脚手架</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 xml:space="preserve">1.建筑结构形式: 框架多层; </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2.檐口高度: 15M以内;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m2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2553.17</w:t>
            </w:r>
          </w:p>
        </w:tc>
      </w:tr>
    </w:tbl>
    <w:p>
      <w:pPr>
        <w:pStyle w:val="2"/>
        <w:rPr>
          <w:rFonts w:hint="eastAsia" w:asciiTheme="minorEastAsia" w:hAnsiTheme="minorEastAsia" w:eastAsiaTheme="minorEastAsia" w:cstheme="minorEastAsia"/>
          <w:color w:val="auto"/>
          <w:lang w:val="en-US" w:eastAsia="zh-CN"/>
        </w:rPr>
      </w:pPr>
    </w:p>
    <w:tbl>
      <w:tblPr>
        <w:tblStyle w:val="64"/>
        <w:tblW w:w="8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5"/>
        <w:gridCol w:w="3062"/>
        <w:gridCol w:w="1454"/>
        <w:gridCol w:w="1373"/>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88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F.1 其他项目清单与计价汇总表(一般计税法)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项目名称</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金额(元)</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结算金额(元)</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暂列金额</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169394.47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暂估价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3586.80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材料（工程设备）暂估价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专业工程暂估价</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3586.80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计日工</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总承包服务费</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索赔与现场签证</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1+2.2+3+4+5项合计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172981.27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1+2.2+3+4+5项合计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销项税额</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17298.13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(6项)×10%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附加税费</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685.01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(6+7项)×费率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合计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190964.41</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(6+7+8)项合计</w:t>
            </w:r>
          </w:p>
        </w:tc>
      </w:tr>
    </w:tbl>
    <w:p>
      <w:pPr>
        <w:pStyle w:val="2"/>
        <w:rPr>
          <w:rFonts w:hint="eastAsia" w:asciiTheme="minorEastAsia" w:hAnsiTheme="minorEastAsia" w:eastAsiaTheme="minorEastAsia" w:cstheme="minorEastAsia"/>
          <w:color w:val="auto"/>
          <w:lang w:val="en-US" w:eastAsia="zh-CN"/>
        </w:rPr>
      </w:pPr>
    </w:p>
    <w:p>
      <w:pPr>
        <w:pStyle w:val="2"/>
        <w:rPr>
          <w:rFonts w:hint="eastAsia" w:asciiTheme="minorEastAsia" w:hAnsiTheme="minorEastAsia" w:eastAsiaTheme="minorEastAsia" w:cstheme="minorEastAsia"/>
          <w:color w:val="auto"/>
          <w:lang w:val="en-US" w:eastAsia="zh-CN"/>
        </w:rPr>
      </w:pPr>
    </w:p>
    <w:tbl>
      <w:tblPr>
        <w:tblStyle w:val="64"/>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1"/>
        <w:gridCol w:w="3824"/>
        <w:gridCol w:w="1495"/>
        <w:gridCol w:w="1467"/>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92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8"/>
                <w:szCs w:val="28"/>
                <w:u w:val="none"/>
                <w:lang w:val="en-US" w:eastAsia="zh-CN" w:bidi="ar"/>
              </w:rPr>
              <w:t>F.3 暂列金额明细表(一般计税法)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项 目 名 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计量单位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暂列金额(元)</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不可预见费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158101.51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扬尘治理费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11292.96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169394.47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bl>
    <w:p>
      <w:pPr>
        <w:pStyle w:val="2"/>
        <w:rPr>
          <w:rFonts w:hint="eastAsia" w:asciiTheme="minorEastAsia" w:hAnsiTheme="minorEastAsia" w:eastAsiaTheme="minorEastAsia" w:cstheme="minorEastAsia"/>
          <w:color w:val="auto"/>
          <w:lang w:val="en-US" w:eastAsia="zh-CN"/>
        </w:rPr>
      </w:pPr>
    </w:p>
    <w:tbl>
      <w:tblPr>
        <w:tblStyle w:val="64"/>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9"/>
        <w:gridCol w:w="2250"/>
        <w:gridCol w:w="1605"/>
        <w:gridCol w:w="1666"/>
        <w:gridCol w:w="1230"/>
        <w:gridCol w:w="121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F.5 专业工程暂估价及结算价表(一般计税法)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工 程 名 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工程内容</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暂估金额(元)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结算金额(元)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差额±(元)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轻钢雨蓬</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3586.80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4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    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3586.80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bl>
    <w:p>
      <w:pPr>
        <w:pStyle w:val="2"/>
        <w:rPr>
          <w:rFonts w:hint="eastAsia" w:asciiTheme="minorEastAsia" w:hAnsiTheme="minorEastAsia" w:eastAsiaTheme="minorEastAsia" w:cstheme="minorEastAsia"/>
          <w:color w:val="auto"/>
          <w:lang w:val="en-US" w:eastAsia="zh-CN"/>
        </w:rPr>
      </w:pPr>
    </w:p>
    <w:p>
      <w:pPr>
        <w:pStyle w:val="2"/>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4、装修装饰工程清单：</w:t>
      </w:r>
    </w:p>
    <w:tbl>
      <w:tblPr>
        <w:tblStyle w:val="64"/>
        <w:tblW w:w="9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1215"/>
        <w:gridCol w:w="1901"/>
        <w:gridCol w:w="3531"/>
        <w:gridCol w:w="1177"/>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96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sz w:val="28"/>
                <w:szCs w:val="28"/>
                <w:u w:val="none"/>
              </w:rPr>
              <w:t>E.1 单位工程工程量清单与造价表(投标报价)(一般计税法)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项目编码</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项目名称</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项目特征描述</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计量单位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门窗工程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011610001001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木门窗拆除</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1.原有外墙上木窗拆除;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2.工程量结算按实;</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010807001002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单框普通铝合金窗</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1.窗代号及洞口尺寸:综合;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2.框、扇材质:单框普通铝合金窗;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3.玻璃品种、厚度:中空透光LOW-E玻璃 6+12+6;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010805001001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电子感应门</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1.门代号及洞口尺寸: 电动感应门4000*2900;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2.玻璃品种、厚度: 钢化玻璃12mm;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3.启动装置的品种、规格: 德国进口电机;</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010802004005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实木装饰门</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1.门代号及洞口尺寸: 1021;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2.门框、扇材质: 成品;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3.包含门套;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010802004012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实木装饰门</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1.门代号及洞口尺寸: 1521;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2.门框、扇材质: 成品;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3.包含门套;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010802004006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实木装饰门</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1.门代号及洞口尺寸: 1121;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2.门框、扇材质: 成品;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3.包含门套;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010802004008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实木装饰门</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1.门代号及洞口尺寸: 0821;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2.门框、扇材质: 成品;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3.包含门套;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010802004009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实木装饰门</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1.门代号及洞口尺寸: 1121;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2.门框、扇材质: 成品;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3.包含门套;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010802004010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实木装饰门</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1.门代号及洞口尺寸: 1621;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2.门框、扇材质: 成品;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3.包含门套;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010802004011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实木装饰门</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1.门代号及洞口尺寸: 0921;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2.门框、扇材质: 成品;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3.包含门套;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樘</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010801004003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木质防火门 FM乙1500*2100</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1.成品木质防火门安装;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2.闭门器安装;</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010801004004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木质防火门 FM乙900*2100</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1.成品木质防火门安装;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2.闭门器安装;</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010801004005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建筑消防门 1500*2100</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1.成品钢质消防门安装;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2.闭门器安装;</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010801004006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建筑消防门 1600*2100</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1.成品钢质消防门安装;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2.闭门器安装;</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010809004001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石材窗台板</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1.大理石窗台板20mm厚;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2.1:3水泥砂浆结合层;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3.部位:窗户下边;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010809004002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石材窗台板</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1.大理石窗台板50mm厚;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2.1:3水泥砂浆结合层;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3.部位:一层大厅收费、登记、预约台面;</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011210003001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铝合金玻璃隔墙</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1.边框材料种类、规格: 铝合金;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2.玻璃品种、规格、颜色: 钢化玻璃12mm;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3.部位:详见建筑立面图;</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53.194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011210003002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不锈钢柱玻璃隔断</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1.100*100拉丝不锈钢饰面立柱;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2.8厚钢化玻璃;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3.部位:一层大厅收费、登记、预约处;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楼地面装饰工程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011102003001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块料楼地面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1.300*600防滑地砖面层，干水泥擦缝;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2.20厚1:3水泥砂浆找平层;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3.部位：卫生间;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011102003002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块料楼地面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1.600*1200地面砖；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2.20厚1:3水泥砂浆找平层;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3.部位：三楼地面及楼梯间一层地面;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767.386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011102003003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门槛石地面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1.门槛石20厚芝麻灰石材;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2.撒素水泥面（洒适量清水）;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3.1：3干硬性水泥浆砂结合层;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4.部位：所有门槛处;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011106002001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块料楼梯面层</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1.600*1200mm陶瓷地面砖;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2.楼梯踏步防滑;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3.20厚1:3水泥砂浆找平层;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4.部位:楼梯间;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5.11ZJ401 1/39;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011105003001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不锈钢踢脚线</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1.1.0mm厚不锈钢踢脚线，高100;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2.含卡扣;</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011105003002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块料踢脚线</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1.面砖踢脚线，高100;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2.部位:楼梯间;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011105002001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石材踢脚线</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1.黑色石材踢脚线，高100;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2.部位:一层大厅收费、登记、预约台面下;</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011103001001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PVC地板楼地面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1.20厚1:3水泥砂浆找平层;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2.3mm自流平;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3.2mm厚PVC地板;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4.含踢脚线面积;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1198.86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011103001002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PVC木纹地板楼地面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1.20厚1:3水泥砂浆找平层;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2.3mm自流平;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3.2mm厚PVC地板;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4.含踢脚线面积;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184.582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天棚工程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011302001001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铝扣板吊顶天棚</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1、300*300方形铝扣板;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2、U型轻钢龙骨38*12*1.2，中距〈1200;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3、φ8螺栓吊杆，双向中距〈1200，上部与吊环固定;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4、部位:卫生间;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011302001002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石膏板吊顶天棚</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1.刷乳胶漆 抹灰面 二遍;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2.双层9.5厚石膏板天棚基层;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3.装配式U型轻钢天棚龙骨(不上人型) 面层规格300×600mm 平面;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4.部分;详建筑图;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365.35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011407002001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乳胶漆天棚</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1.乳胶漆二遍;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2.封底漆一道(干燥后再做面涂);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3.腻子分遍刮平;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4.部分;详建筑图;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1087.02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011407002002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米白色肌理漆天棚</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1.米白色肌理喷涂;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2.封底漆一道(干燥后再做面涂);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3.腻子分遍刮平;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4.部分;详建筑图;</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1324.81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011407002003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楼梯间乳胶漆天棚</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1.乳胶漆二遍;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2.刮腻子二遍;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3.部位：楼梯间;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011203001001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楼梯牵边零星抹灰  </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内墙面装饰工程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011201001003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水泥砂浆抹灰墙面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1.1:3水泥砂浆抹面;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2.轻质隔墙;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3.部分;详建筑图,楼梯间除外;</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2512.016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011407001001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白色乳胶漆墙面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1.白色乳胶漆二遍;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2.刮腻子二遍;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3.部分;详建筑图,楼梯间除外;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1852.306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011201001002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楼梯间水泥砂浆抹灰墙面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1.1:3水泥砂浆抹面;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2.砖墙面;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3.部位:楼梯间;</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489.57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011407001002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白色乳胶漆墙面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1.白色乳胶漆二遍;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2.刮腻子二遍;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3.部位:楼梯间;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489.57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011502001001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不锈钢收口条</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1.部分;详建筑图立面图1F-EL-101等;</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011204003001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块料墙面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1.贴300*600墙面砖;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2.6厚1:2.5水泥砂浆（掺建筑胶）;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3.刷素水泥浆一道;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4.12厚1:3水泥砂浆找平层;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5.部分;详建筑图;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351.39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011204003003</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块料墙面</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1.贴600*1200墙面砖;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2.6厚1:2.5水泥砂浆（掺建筑胶）;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3.刷素水泥浆一道;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4.12厚1:3水泥砂浆找平层;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5.部分;详建筑图;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011204004001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干挂石材钢骨架</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1.40*30*1mm轻钢龙骨方管;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2.间距暂按500*500mm,结算工程量按实;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3.部位:一层大厅收费、登记、预约台面下;</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011204004002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干挂石材后置件</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1.镀锌铁件 150×150×8mm后置件;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2.间距暂按500*500mm,结算工程量按实;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3.部位:一层大厅收费、登记、预约台面下;</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块</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011204001001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干挂墙面砖</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1.干挂600*1200墙面砖;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2.部位:一层大厅收费、登记、预约台面下;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外墙面装饰工程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011204003002</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外墙面砖</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1.贴600*600白色墙砖,与原有外墙砖一致;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2.6厚1:2.5水泥砂浆（掺建筑胶）;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3.刷素水泥浆一道;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4.12厚1:3水泥砂浆找平层;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5.部位:新增外墙面砖 </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277.019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auto"/>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其他工程</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011210005001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成品隔断</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1.卫生间蹲位抗倍特板隔断;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 xml:space="preserve">2.暂按包干价计算，结算按实;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3.部分;卫生间;</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82.985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011503001001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楼梯间扶手、栏杆 11ZJ401 1/13</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1.参照图集11ZJ401 1/13;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011505001001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洗漱台</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1.100厚大理石台面;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2.400高木饰矮柜;</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011505010001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水银镜</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1.洗漱台处;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011703001001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垂直运输</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2553.17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011701001001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装饰改架工</w:t>
            </w:r>
          </w:p>
        </w:tc>
        <w:tc>
          <w:tcPr>
            <w:tcW w:w="3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m2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1381.68</w:t>
            </w:r>
          </w:p>
        </w:tc>
      </w:tr>
    </w:tbl>
    <w:p>
      <w:pPr>
        <w:pStyle w:val="2"/>
        <w:rPr>
          <w:rFonts w:hint="eastAsia" w:asciiTheme="minorEastAsia" w:hAnsiTheme="minorEastAsia" w:eastAsiaTheme="minorEastAsia" w:cstheme="minorEastAsia"/>
          <w:color w:val="auto"/>
          <w:lang w:val="en-US" w:eastAsia="zh-CN"/>
        </w:rPr>
      </w:pPr>
    </w:p>
    <w:tbl>
      <w:tblPr>
        <w:tblStyle w:val="64"/>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5"/>
        <w:gridCol w:w="3809"/>
        <w:gridCol w:w="1591"/>
        <w:gridCol w:w="1500"/>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6" w:hRule="atLeast"/>
        </w:trPr>
        <w:tc>
          <w:tcPr>
            <w:tcW w:w="9600" w:type="dxa"/>
            <w:gridSpan w:val="5"/>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F.1 其他项目清单与计价汇总表(一般计税法)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项目名称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金额(元)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结算金额(元)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暂列金额</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207818.43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暂估价</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76696.40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2.1</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材料（工程设备）暂估价</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5175.54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2.2</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专业工程暂估价</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76696.40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计日工</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4</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总承包服务费</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索赔与现场签证</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明细详见F.8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1+2.2+3+4+5项合计</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284514.83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1+2.2+3+4+5项合计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销项税额</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28451.48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(6项)×10%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8</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附加税费</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1126.68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(6+7项)×费率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9</w:t>
            </w:r>
          </w:p>
        </w:tc>
        <w:tc>
          <w:tcPr>
            <w:tcW w:w="3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  合计</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314092.99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(6+7+8)项合计</w:t>
            </w:r>
          </w:p>
        </w:tc>
      </w:tr>
    </w:tbl>
    <w:p>
      <w:pPr>
        <w:pStyle w:val="2"/>
        <w:rPr>
          <w:rFonts w:hint="eastAsia" w:asciiTheme="minorEastAsia" w:hAnsiTheme="minorEastAsia" w:eastAsiaTheme="minorEastAsia" w:cstheme="minorEastAsia"/>
          <w:color w:val="auto"/>
          <w:lang w:val="en-US" w:eastAsia="zh-CN"/>
        </w:rPr>
      </w:pPr>
    </w:p>
    <w:tbl>
      <w:tblPr>
        <w:tblStyle w:val="64"/>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1"/>
        <w:gridCol w:w="3824"/>
        <w:gridCol w:w="1495"/>
        <w:gridCol w:w="1467"/>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9" w:hRule="atLeast"/>
        </w:trPr>
        <w:tc>
          <w:tcPr>
            <w:tcW w:w="9255" w:type="dxa"/>
            <w:gridSpan w:val="5"/>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40"/>
                <w:szCs w:val="40"/>
                <w:u w:val="none"/>
              </w:rPr>
            </w:pPr>
            <w:r>
              <w:rPr>
                <w:rFonts w:hint="eastAsia" w:asciiTheme="minorEastAsia" w:hAnsiTheme="minorEastAsia" w:eastAsiaTheme="minorEastAsia" w:cstheme="minorEastAsia"/>
                <w:i w:val="0"/>
                <w:color w:val="auto"/>
                <w:kern w:val="0"/>
                <w:sz w:val="28"/>
                <w:szCs w:val="28"/>
                <w:u w:val="none"/>
                <w:lang w:val="en-US" w:eastAsia="zh-CN" w:bidi="ar"/>
              </w:rPr>
              <w:t>F.3 暂列金额明细表(一般计税法)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项 目 名 称</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计量单位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暂列金额(元)</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1.1</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不可预见费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193963.87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1.2</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扬尘治理费</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13854.56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207818.43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bl>
    <w:p>
      <w:pPr>
        <w:pStyle w:val="2"/>
        <w:rPr>
          <w:rFonts w:hint="eastAsia" w:asciiTheme="minorEastAsia" w:hAnsiTheme="minorEastAsia" w:eastAsiaTheme="minorEastAsia" w:cstheme="minorEastAsia"/>
          <w:color w:val="auto"/>
          <w:lang w:val="en-US" w:eastAsia="zh-CN"/>
        </w:rPr>
      </w:pPr>
    </w:p>
    <w:tbl>
      <w:tblPr>
        <w:tblStyle w:val="64"/>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1559"/>
        <w:gridCol w:w="787"/>
        <w:gridCol w:w="949"/>
        <w:gridCol w:w="950"/>
        <w:gridCol w:w="956"/>
        <w:gridCol w:w="950"/>
        <w:gridCol w:w="609"/>
        <w:gridCol w:w="624"/>
        <w:gridCol w:w="640"/>
        <w:gridCol w:w="642"/>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2" w:hRule="atLeast"/>
        </w:trPr>
        <w:tc>
          <w:tcPr>
            <w:tcW w:w="9855" w:type="dxa"/>
            <w:gridSpan w:val="12"/>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40"/>
                <w:szCs w:val="40"/>
                <w:u w:val="none"/>
              </w:rPr>
            </w:pPr>
            <w:r>
              <w:rPr>
                <w:rFonts w:hint="eastAsia" w:asciiTheme="minorEastAsia" w:hAnsiTheme="minorEastAsia" w:eastAsiaTheme="minorEastAsia" w:cstheme="minorEastAsia"/>
                <w:i w:val="0"/>
                <w:color w:val="auto"/>
                <w:kern w:val="0"/>
                <w:sz w:val="28"/>
                <w:szCs w:val="28"/>
                <w:u w:val="none"/>
                <w:lang w:val="en-US" w:eastAsia="zh-CN" w:bidi="ar"/>
              </w:rPr>
              <w:t>F.4 材料(工程设备)暂估单价及调整表  (一般计税法)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材料(工程设备)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名称、规格、型号</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 xml:space="preserve">计量 </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单位</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数量</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暂估(元)</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确认(元)</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差额±(元)</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暂估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确认</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合价</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单价</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合价</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单价</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合价</w:t>
            </w: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电磁感应装置德国进口电机</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套</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5175.54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heme="minorEastAsia" w:hAnsiTheme="minorEastAsia" w:eastAsiaTheme="minorEastAsia" w:cstheme="minorEastAsia"/>
                <w:i w:val="0"/>
                <w:color w:val="auto"/>
                <w:sz w:val="18"/>
                <w:szCs w:val="18"/>
                <w:u w:val="none"/>
              </w:rPr>
            </w:pPr>
          </w:p>
        </w:tc>
      </w:tr>
    </w:tbl>
    <w:p>
      <w:pPr>
        <w:pStyle w:val="2"/>
        <w:rPr>
          <w:rFonts w:hint="eastAsia" w:asciiTheme="minorEastAsia" w:hAnsiTheme="minorEastAsia" w:eastAsiaTheme="minorEastAsia" w:cstheme="minorEastAsia"/>
          <w:color w:val="auto"/>
          <w:lang w:val="en-US" w:eastAsia="zh-CN"/>
        </w:rPr>
      </w:pPr>
    </w:p>
    <w:tbl>
      <w:tblPr>
        <w:tblStyle w:val="64"/>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2215"/>
        <w:gridCol w:w="1554"/>
        <w:gridCol w:w="1632"/>
        <w:gridCol w:w="1199"/>
        <w:gridCol w:w="1191"/>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7" w:hRule="atLeast"/>
        </w:trPr>
        <w:tc>
          <w:tcPr>
            <w:tcW w:w="9555" w:type="dxa"/>
            <w:gridSpan w:val="7"/>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kern w:val="0"/>
                <w:sz w:val="28"/>
                <w:szCs w:val="28"/>
                <w:u w:val="none"/>
                <w:lang w:val="en-US" w:eastAsia="zh-CN" w:bidi="ar"/>
              </w:rPr>
              <w:t>F.5 专业工程暂估价及结算价表(一般计税法)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序号</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工 程 名 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工程内容</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暂估金额(元)</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结算金额(元)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差额±(元)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成品衣柜/书柜900*400*2000mm</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50400.00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二层墙面成品木饰面</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26296.40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4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合    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76696.40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inorEastAsia" w:hAnsiTheme="minorEastAsia" w:eastAsiaTheme="minorEastAsia" w:cstheme="minorEastAsia"/>
                <w:i w:val="0"/>
                <w:color w:val="auto"/>
                <w:sz w:val="20"/>
                <w:szCs w:val="20"/>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18"/>
                <w:szCs w:val="18"/>
                <w:u w:val="none"/>
              </w:rPr>
            </w:pPr>
          </w:p>
        </w:tc>
      </w:tr>
    </w:tbl>
    <w:p>
      <w:pPr>
        <w:pStyle w:val="2"/>
        <w:rPr>
          <w:rFonts w:hint="eastAsia" w:asciiTheme="minorEastAsia" w:hAnsiTheme="minorEastAsia" w:eastAsiaTheme="minorEastAsia" w:cstheme="minorEastAsia"/>
          <w:color w:val="auto"/>
          <w:lang w:val="en-US" w:eastAsia="zh-CN"/>
        </w:rPr>
      </w:pPr>
    </w:p>
    <w:p>
      <w:pPr>
        <w:adjustRightInd w:val="0"/>
        <w:snapToGrid w:val="0"/>
        <w:ind w:firstLine="643" w:firstLineChars="200"/>
        <w:jc w:val="center"/>
        <w:outlineLvl w:val="0"/>
        <w:rPr>
          <w:rFonts w:hint="eastAsia" w:asciiTheme="minorEastAsia" w:hAnsiTheme="minorEastAsia" w:eastAsiaTheme="minorEastAsia" w:cstheme="minorEastAsia"/>
          <w:b/>
          <w:color w:val="auto"/>
          <w:sz w:val="32"/>
          <w:szCs w:val="32"/>
        </w:rPr>
      </w:pPr>
      <w:bookmarkStart w:id="20" w:name="_Toc14769"/>
    </w:p>
    <w:p>
      <w:pPr>
        <w:adjustRightInd w:val="0"/>
        <w:snapToGrid w:val="0"/>
        <w:ind w:firstLine="643" w:firstLineChars="200"/>
        <w:jc w:val="center"/>
        <w:outlineLvl w:val="0"/>
        <w:rPr>
          <w:rFonts w:hint="eastAsia" w:asciiTheme="minorEastAsia" w:hAnsiTheme="minorEastAsia" w:eastAsiaTheme="minorEastAsia" w:cstheme="minorEastAsia"/>
          <w:b/>
          <w:color w:val="auto"/>
          <w:sz w:val="32"/>
          <w:szCs w:val="32"/>
        </w:rPr>
      </w:pPr>
    </w:p>
    <w:p>
      <w:pPr>
        <w:adjustRightInd w:val="0"/>
        <w:snapToGrid w:val="0"/>
        <w:ind w:firstLine="643" w:firstLineChars="200"/>
        <w:jc w:val="center"/>
        <w:outlineLvl w:val="0"/>
        <w:rPr>
          <w:rFonts w:hint="eastAsia" w:asciiTheme="minorEastAsia" w:hAnsiTheme="minorEastAsia" w:eastAsiaTheme="minorEastAsia" w:cstheme="minorEastAsia"/>
          <w:b/>
          <w:color w:val="auto"/>
          <w:sz w:val="32"/>
          <w:szCs w:val="32"/>
        </w:rPr>
      </w:pPr>
    </w:p>
    <w:p>
      <w:pPr>
        <w:adjustRightInd w:val="0"/>
        <w:snapToGrid w:val="0"/>
        <w:ind w:firstLine="643" w:firstLineChars="200"/>
        <w:jc w:val="center"/>
        <w:outlineLvl w:val="0"/>
        <w:rPr>
          <w:rFonts w:hint="eastAsia" w:asciiTheme="minorEastAsia" w:hAnsiTheme="minorEastAsia" w:eastAsiaTheme="minorEastAsia" w:cstheme="minorEastAsia"/>
          <w:b/>
          <w:color w:val="auto"/>
          <w:sz w:val="32"/>
          <w:szCs w:val="32"/>
        </w:rPr>
      </w:pPr>
    </w:p>
    <w:p>
      <w:pPr>
        <w:adjustRightInd w:val="0"/>
        <w:snapToGrid w:val="0"/>
        <w:ind w:firstLine="643" w:firstLineChars="200"/>
        <w:jc w:val="center"/>
        <w:outlineLvl w:val="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第六章 响应文件组成</w:t>
      </w:r>
      <w:bookmarkEnd w:id="20"/>
    </w:p>
    <w:p>
      <w:pPr>
        <w:spacing w:line="3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供应商的响应文件应包含以下九个部分：</w:t>
      </w:r>
    </w:p>
    <w:p>
      <w:pPr>
        <w:spacing w:line="360" w:lineRule="exact"/>
        <w:rPr>
          <w:rFonts w:hint="eastAsia" w:asciiTheme="minorEastAsia" w:hAnsiTheme="minorEastAsia" w:eastAsiaTheme="minorEastAsia" w:cstheme="minorEastAsia"/>
          <w:color w:val="auto"/>
        </w:rPr>
      </w:pPr>
    </w:p>
    <w:p>
      <w:pPr>
        <w:adjustRightInd w:val="0"/>
        <w:snapToGrid w:val="0"/>
        <w:jc w:val="lef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一、磋商响应声明</w:t>
      </w:r>
    </w:p>
    <w:p>
      <w:pPr>
        <w:adjustRightInd w:val="0"/>
        <w:snapToGrid w:val="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附件1：法定代表人身份证明(法定代表人参加磋商)</w:t>
      </w:r>
    </w:p>
    <w:p>
      <w:pPr>
        <w:adjustRightInd w:val="0"/>
        <w:snapToGrid w:val="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附件2：法定代表人授权书(委托代理人参加磋商)</w:t>
      </w:r>
    </w:p>
    <w:p>
      <w:pPr>
        <w:adjustRightInd w:val="0"/>
        <w:snapToGrid w:val="0"/>
        <w:spacing w:line="360" w:lineRule="auto"/>
        <w:ind w:firstLine="420" w:firstLineChars="200"/>
        <w:jc w:val="left"/>
        <w:outlineLvl w:val="0"/>
        <w:rPr>
          <w:rFonts w:hint="eastAsia" w:asciiTheme="minorEastAsia" w:hAnsiTheme="minorEastAsia" w:eastAsiaTheme="minorEastAsia" w:cstheme="minorEastAsia"/>
          <w:color w:val="auto"/>
        </w:rPr>
      </w:pPr>
      <w:bookmarkStart w:id="21" w:name="_Toc4135"/>
      <w:r>
        <w:rPr>
          <w:rFonts w:hint="eastAsia" w:asciiTheme="minorEastAsia" w:hAnsiTheme="minorEastAsia" w:eastAsiaTheme="minorEastAsia" w:cstheme="minorEastAsia"/>
          <w:color w:val="auto"/>
          <w:szCs w:val="21"/>
        </w:rPr>
        <w:t>附件3：工程质量保修书</w:t>
      </w:r>
      <w:bookmarkEnd w:id="21"/>
    </w:p>
    <w:p>
      <w:pPr>
        <w:adjustRightInd w:val="0"/>
        <w:snapToGrid w:val="0"/>
        <w:jc w:val="lef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二、保证金</w:t>
      </w:r>
    </w:p>
    <w:p>
      <w:pPr>
        <w:adjustRightInd w:val="0"/>
        <w:snapToGrid w:val="0"/>
        <w:jc w:val="lef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三、供应商的资格证明材料</w:t>
      </w:r>
    </w:p>
    <w:p>
      <w:pPr>
        <w:adjustRightInd w:val="0"/>
        <w:snapToGrid w:val="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附件</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：供应商基本情况表</w:t>
      </w:r>
    </w:p>
    <w:p>
      <w:pPr>
        <w:adjustRightInd w:val="0"/>
        <w:snapToGrid w:val="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附件</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：供应商的资格条件更新材料</w:t>
      </w:r>
    </w:p>
    <w:p>
      <w:pPr>
        <w:adjustRightInd w:val="0"/>
        <w:snapToGrid w:val="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附件</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：磋商文件规定的基本资格条件证明资料</w:t>
      </w:r>
    </w:p>
    <w:p>
      <w:pPr>
        <w:adjustRightInd w:val="0"/>
        <w:snapToGrid w:val="0"/>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附件</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：磋商文件规定的特定资格条件证明资料</w:t>
      </w:r>
    </w:p>
    <w:p>
      <w:pPr>
        <w:pStyle w:val="29"/>
        <w:adjustRightInd w:val="0"/>
        <w:snapToGrid w:val="0"/>
        <w:spacing w:line="360" w:lineRule="auto"/>
        <w:rPr>
          <w:rFonts w:hint="eastAsia" w:asciiTheme="minorEastAsia" w:hAnsiTheme="minorEastAsia" w:eastAsiaTheme="minorEastAsia" w:cstheme="minorEastAsia"/>
          <w:b/>
          <w:color w:val="auto"/>
          <w:sz w:val="21"/>
        </w:rPr>
      </w:pPr>
      <w:r>
        <w:rPr>
          <w:rFonts w:hint="eastAsia" w:asciiTheme="minorEastAsia" w:hAnsiTheme="minorEastAsia" w:eastAsiaTheme="minorEastAsia" w:cstheme="minorEastAsia"/>
          <w:b/>
          <w:color w:val="auto"/>
        </w:rPr>
        <w:t>四、</w:t>
      </w:r>
      <w:r>
        <w:rPr>
          <w:rFonts w:hint="eastAsia" w:asciiTheme="minorEastAsia" w:hAnsiTheme="minorEastAsia" w:eastAsiaTheme="minorEastAsia" w:cstheme="minorEastAsia"/>
          <w:b/>
          <w:color w:val="auto"/>
          <w:sz w:val="21"/>
        </w:rPr>
        <w:t>报价一览表及报价文件</w:t>
      </w:r>
    </w:p>
    <w:p>
      <w:pPr>
        <w:adjustRightInd w:val="0"/>
        <w:snapToGrid w:val="0"/>
        <w:spacing w:line="360" w:lineRule="auto"/>
        <w:ind w:firstLine="420" w:firstLineChars="200"/>
        <w:jc w:val="left"/>
        <w:outlineLvl w:val="0"/>
        <w:rPr>
          <w:rFonts w:hint="eastAsia" w:asciiTheme="minorEastAsia" w:hAnsiTheme="minorEastAsia" w:eastAsiaTheme="minorEastAsia" w:cstheme="minorEastAsia"/>
          <w:bCs/>
          <w:color w:val="auto"/>
          <w:szCs w:val="21"/>
        </w:rPr>
      </w:pPr>
      <w:bookmarkStart w:id="22" w:name="_Toc17186"/>
      <w:r>
        <w:rPr>
          <w:rFonts w:hint="eastAsia" w:asciiTheme="minorEastAsia" w:hAnsiTheme="minorEastAsia" w:eastAsiaTheme="minorEastAsia" w:cstheme="minorEastAsia"/>
          <w:color w:val="auto"/>
          <w:szCs w:val="21"/>
        </w:rPr>
        <w:t>附件</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Cs/>
          <w:color w:val="auto"/>
          <w:szCs w:val="21"/>
        </w:rPr>
        <w:t>报价文件</w:t>
      </w:r>
      <w:bookmarkEnd w:id="22"/>
    </w:p>
    <w:p>
      <w:pPr>
        <w:adjustRightInd w:val="0"/>
        <w:snapToGrid w:val="0"/>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附件</w:t>
      </w: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 xml:space="preserve"> 分项报价表（已标价工程清单、另册装订）</w:t>
      </w:r>
    </w:p>
    <w:p>
      <w:pPr>
        <w:pStyle w:val="29"/>
        <w:adjustRightInd w:val="0"/>
        <w:snapToGrid w:val="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五、技术/商务响应与偏离表</w:t>
      </w:r>
    </w:p>
    <w:p>
      <w:pPr>
        <w:pStyle w:val="29"/>
        <w:adjustRightInd w:val="0"/>
        <w:snapToGrid w:val="0"/>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b/>
          <w:color w:val="auto"/>
        </w:rPr>
        <w:t>六、</w:t>
      </w:r>
      <w:r>
        <w:rPr>
          <w:rFonts w:hint="eastAsia" w:asciiTheme="minorEastAsia" w:hAnsiTheme="minorEastAsia" w:eastAsiaTheme="minorEastAsia" w:cstheme="minorEastAsia"/>
          <w:b/>
          <w:color w:val="auto"/>
          <w:lang w:eastAsia="zh-CN"/>
        </w:rPr>
        <w:t>施工组织方案</w:t>
      </w:r>
    </w:p>
    <w:p>
      <w:pPr>
        <w:pStyle w:val="29"/>
        <w:adjustRightInd w:val="0"/>
        <w:snapToGrid w:val="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附件</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：主要人员简历表</w:t>
      </w:r>
    </w:p>
    <w:p>
      <w:pPr>
        <w:pStyle w:val="29"/>
        <w:adjustRightInd w:val="0"/>
        <w:snapToGrid w:val="0"/>
        <w:ind w:firstLine="42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附件</w:t>
      </w:r>
      <w:r>
        <w:rPr>
          <w:rFonts w:hint="eastAsia" w:asciiTheme="minorEastAsia" w:hAnsiTheme="minorEastAsia" w:eastAsiaTheme="minorEastAsia" w:cstheme="minorEastAsia"/>
          <w:color w:val="auto"/>
          <w:szCs w:val="21"/>
          <w:lang w:val="en-US" w:eastAsia="zh-CN"/>
        </w:rPr>
        <w:t>11：承诺函</w:t>
      </w:r>
    </w:p>
    <w:p>
      <w:pPr>
        <w:pStyle w:val="29"/>
        <w:adjustRightInd w:val="0"/>
        <w:snapToGrid w:val="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eastAsia="zh-CN"/>
        </w:rPr>
        <w:t>七、</w:t>
      </w:r>
      <w:r>
        <w:rPr>
          <w:rFonts w:hint="eastAsia" w:asciiTheme="minorEastAsia" w:hAnsiTheme="minorEastAsia" w:eastAsiaTheme="minorEastAsia" w:cstheme="minorEastAsia"/>
          <w:b/>
          <w:color w:val="auto"/>
        </w:rPr>
        <w:t>供应商认为需提供的其它资料</w:t>
      </w:r>
    </w:p>
    <w:p>
      <w:pPr>
        <w:pStyle w:val="29"/>
        <w:adjustRightInd w:val="0"/>
        <w:snapToGrid w:val="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lang w:eastAsia="zh-CN"/>
        </w:rPr>
        <w:t>八</w:t>
      </w:r>
      <w:r>
        <w:rPr>
          <w:rFonts w:hint="eastAsia" w:asciiTheme="minorEastAsia" w:hAnsiTheme="minorEastAsia" w:eastAsiaTheme="minorEastAsia" w:cstheme="minorEastAsia"/>
          <w:b/>
          <w:color w:val="auto"/>
        </w:rPr>
        <w:t>、最后报价</w:t>
      </w:r>
    </w:p>
    <w:p>
      <w:pPr>
        <w:pStyle w:val="29"/>
        <w:adjustRightInd w:val="0"/>
        <w:snapToGrid w:val="0"/>
        <w:rPr>
          <w:rFonts w:hint="eastAsia" w:asciiTheme="minorEastAsia" w:hAnsiTheme="minorEastAsia" w:eastAsiaTheme="minorEastAsia" w:cstheme="minorEastAsia"/>
          <w:b/>
          <w:color w:val="auto"/>
        </w:rPr>
      </w:pPr>
    </w:p>
    <w:p>
      <w:pPr>
        <w:pStyle w:val="29"/>
        <w:adjustRightInd w:val="0"/>
        <w:snapToGrid w:val="0"/>
        <w:rPr>
          <w:rFonts w:hint="eastAsia" w:asciiTheme="minorEastAsia" w:hAnsiTheme="minorEastAsia" w:eastAsiaTheme="minorEastAsia" w:cstheme="minorEastAsia"/>
          <w:b/>
          <w:color w:val="auto"/>
        </w:rPr>
      </w:pPr>
    </w:p>
    <w:p>
      <w:pPr>
        <w:pStyle w:val="29"/>
        <w:adjustRightInd w:val="0"/>
        <w:snapToGrid w:val="0"/>
        <w:rPr>
          <w:rFonts w:hint="eastAsia" w:asciiTheme="minorEastAsia" w:hAnsiTheme="minorEastAsia" w:eastAsiaTheme="minorEastAsia" w:cstheme="minorEastAsia"/>
          <w:b/>
          <w:color w:val="auto"/>
        </w:rPr>
      </w:pPr>
    </w:p>
    <w:p>
      <w:pPr>
        <w:pStyle w:val="29"/>
        <w:adjustRightInd w:val="0"/>
        <w:snapToGrid w:val="0"/>
        <w:rPr>
          <w:rFonts w:hint="eastAsia" w:asciiTheme="minorEastAsia" w:hAnsiTheme="minorEastAsia" w:eastAsiaTheme="minorEastAsia" w:cstheme="minorEastAsia"/>
          <w:b/>
          <w:color w:val="auto"/>
        </w:rPr>
      </w:pPr>
    </w:p>
    <w:p>
      <w:pPr>
        <w:spacing w:line="360" w:lineRule="exact"/>
        <w:rPr>
          <w:rFonts w:hint="eastAsia" w:asciiTheme="minorEastAsia" w:hAnsiTheme="minorEastAsia" w:eastAsiaTheme="minorEastAsia" w:cstheme="minorEastAsia"/>
          <w:b/>
          <w:color w:val="auto"/>
        </w:rPr>
      </w:pPr>
    </w:p>
    <w:p>
      <w:pPr>
        <w:pStyle w:val="2"/>
        <w:rPr>
          <w:rFonts w:hint="eastAsia" w:asciiTheme="minorEastAsia" w:hAnsiTheme="minorEastAsia" w:eastAsiaTheme="minorEastAsia" w:cstheme="minorEastAsia"/>
          <w:b/>
          <w:color w:val="auto"/>
        </w:rPr>
      </w:pPr>
    </w:p>
    <w:p>
      <w:pPr>
        <w:pStyle w:val="2"/>
        <w:rPr>
          <w:rFonts w:hint="eastAsia" w:asciiTheme="minorEastAsia" w:hAnsiTheme="minorEastAsia" w:eastAsiaTheme="minorEastAsia" w:cstheme="minorEastAsia"/>
          <w:b/>
          <w:color w:val="auto"/>
        </w:rPr>
      </w:pPr>
    </w:p>
    <w:p>
      <w:pPr>
        <w:pStyle w:val="2"/>
        <w:ind w:left="0" w:leftChars="0" w:firstLine="0" w:firstLineChars="0"/>
        <w:rPr>
          <w:rFonts w:hint="eastAsia" w:asciiTheme="minorEastAsia" w:hAnsiTheme="minorEastAsia" w:eastAsiaTheme="minorEastAsia" w:cstheme="minorEastAsia"/>
          <w:b/>
          <w:color w:val="auto"/>
        </w:rPr>
      </w:pPr>
    </w:p>
    <w:p>
      <w:pPr>
        <w:adjustRightInd w:val="0"/>
        <w:snapToGrid w:val="0"/>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一、磋商响应声明</w:t>
      </w:r>
    </w:p>
    <w:p>
      <w:pPr>
        <w:adjustRightInd w:val="0"/>
        <w:snapToGrid w:val="0"/>
        <w:spacing w:line="36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(采购人或采购代理机构)：</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我方已仔细研究了</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(项目名称)的竞争性磋商文件（采购编号：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；采购代理编号：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）的全部内容，知悉参加竞争性磋商的风险，我方承诺接受磋商文件的全部条款且无任何异议。</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一、我方同意在磋商文件中规定的提交首次响应文件截止时间起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日内(响应文件有效期)遵守本响应文件中的承诺且在此期限期满之前均具有法律约束力。</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二、我方提交响应文件正本一份和副本一式</w:t>
      </w:r>
      <w:r>
        <w:rPr>
          <w:rFonts w:hint="eastAsia" w:asciiTheme="minorEastAsia" w:hAnsiTheme="minorEastAsia" w:eastAsiaTheme="minorEastAsia" w:cstheme="minorEastAsia"/>
          <w:color w:val="auto"/>
          <w:szCs w:val="21"/>
          <w:u w:val="none"/>
          <w:lang w:eastAsia="zh-CN"/>
        </w:rPr>
        <w:t>四</w:t>
      </w:r>
      <w:r>
        <w:rPr>
          <w:rFonts w:hint="eastAsia" w:asciiTheme="minorEastAsia" w:hAnsiTheme="minorEastAsia" w:eastAsiaTheme="minorEastAsia" w:cstheme="minorEastAsia"/>
          <w:color w:val="auto"/>
          <w:szCs w:val="21"/>
        </w:rPr>
        <w:t>份，并保证响应文件提供的数据和资料全部内容真实、合法、准确和完整，我们对此负责，并愿承担由此引起的法律责任。</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三、我方愿意向贵方提供任何与本项采购有关的数据、情况和技术资料。若贵方需要，我方愿意提供我方作出的一切承诺的证明资料。</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四、我方愿意按磋商文件规定和磋商小组要求重新提交响应文件和最后报价。</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五、我方承诺遵守参照《中华人民共和国政府采购法》的有关规定，保证在获得成交资格后，按照磋商文件确定的事项签订采购合同，履行双方所签订的合同，并承担合同规定的责任和义务。</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六、我方在此声明： </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（一）我方与采购人或采购代理机构不存在隶属关系或者其他利害关系。</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（二）我方与参加本项目的其他供应商不存在直接控股、管理关系，或者与其他供应商法定代表人（或者负责人）为同一人。</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（三）我方未为本项目前期准备提供设计或咨询服务。</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（四）我方承诺（承诺期：成立三年以上的，为提交首次响应文件截止时间前三年内；成立不足三年的，为实际时间）：</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1、我方依法缴纳了各项税费及各项社会保障资金，没有偷税、漏税及欠缴行为。</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2、我方在经营活动中没有存在下列重大违法记录：</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(1)受到刑事处罚；</w:t>
      </w:r>
    </w:p>
    <w:p>
      <w:pPr>
        <w:adjustRightInd w:val="0"/>
        <w:snapToGrid w:val="0"/>
        <w:spacing w:line="36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(2)受到三万元以上的罚款、责令停产停业、在一至三年内禁止参加政府采购活动、暂扣或者吊销许可证、暂扣或者吊销执照的行政处罚。</w:t>
      </w: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p>
    <w:p>
      <w:pPr>
        <w:adjustRightInd w:val="0"/>
        <w:snapToGrid w:val="0"/>
        <w:spacing w:line="420" w:lineRule="exact"/>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附1：法定代表人身份证明                   附2：法定代表人授权书</w:t>
      </w:r>
    </w:p>
    <w:p>
      <w:pPr>
        <w:adjustRightInd w:val="0"/>
        <w:snapToGrid w:val="0"/>
        <w:spacing w:line="420" w:lineRule="exact"/>
        <w:rPr>
          <w:rFonts w:hint="eastAsia" w:asciiTheme="minorEastAsia" w:hAnsiTheme="minorEastAsia" w:eastAsiaTheme="minorEastAsia" w:cstheme="minorEastAsia"/>
          <w:color w:val="auto"/>
          <w:szCs w:val="21"/>
        </w:rPr>
      </w:pPr>
    </w:p>
    <w:p>
      <w:pPr>
        <w:adjustRightInd w:val="0"/>
        <w:snapToGrid w:val="0"/>
        <w:spacing w:line="420" w:lineRule="exact"/>
        <w:rPr>
          <w:rFonts w:hint="eastAsia" w:asciiTheme="minorEastAsia" w:hAnsiTheme="minorEastAsia" w:eastAsiaTheme="minorEastAsia" w:cstheme="minorEastAsia"/>
          <w:color w:val="auto"/>
          <w:szCs w:val="21"/>
        </w:rPr>
      </w:pPr>
    </w:p>
    <w:p>
      <w:pPr>
        <w:adjustRightInd w:val="0"/>
        <w:snapToGrid w:val="0"/>
        <w:spacing w:line="4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供应商名称(盖单位章)：</w:t>
      </w:r>
    </w:p>
    <w:p>
      <w:pPr>
        <w:adjustRightInd w:val="0"/>
        <w:snapToGrid w:val="0"/>
        <w:spacing w:line="4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法定代表人或其委托代理人 (签字)：            </w:t>
      </w:r>
    </w:p>
    <w:p>
      <w:pPr>
        <w:adjustRightInd w:val="0"/>
        <w:snapToGrid w:val="0"/>
        <w:spacing w:line="42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     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adjustRightInd w:val="0"/>
        <w:snapToGrid w:val="0"/>
        <w:ind w:right="24"/>
        <w:rPr>
          <w:rFonts w:hint="eastAsia" w:asciiTheme="minorEastAsia" w:hAnsiTheme="minorEastAsia" w:eastAsiaTheme="minorEastAsia" w:cstheme="minorEastAsia"/>
          <w:bCs/>
          <w:color w:val="auto"/>
          <w:sz w:val="24"/>
        </w:rPr>
      </w:pPr>
    </w:p>
    <w:p>
      <w:pPr>
        <w:adjustRightInd w:val="0"/>
        <w:snapToGrid w:val="0"/>
        <w:ind w:right="24"/>
        <w:rPr>
          <w:rFonts w:hint="eastAsia" w:asciiTheme="minorEastAsia" w:hAnsiTheme="minorEastAsia" w:eastAsiaTheme="minorEastAsia" w:cstheme="minorEastAsia"/>
          <w:bCs/>
          <w:color w:val="auto"/>
          <w:sz w:val="24"/>
        </w:rPr>
      </w:pPr>
    </w:p>
    <w:p>
      <w:pPr>
        <w:adjustRightInd w:val="0"/>
        <w:snapToGrid w:val="0"/>
        <w:ind w:right="24"/>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附件1：</w:t>
      </w:r>
    </w:p>
    <w:p>
      <w:pPr>
        <w:adjustRightInd w:val="0"/>
        <w:snapToGrid w:val="0"/>
        <w:ind w:right="24"/>
        <w:jc w:val="center"/>
        <w:rPr>
          <w:rFonts w:hint="eastAsia" w:asciiTheme="minorEastAsia" w:hAnsiTheme="minorEastAsia" w:eastAsiaTheme="minorEastAsia" w:cstheme="minorEastAsia"/>
          <w:b/>
          <w:color w:val="auto"/>
          <w:sz w:val="28"/>
          <w:szCs w:val="28"/>
        </w:rPr>
      </w:pPr>
    </w:p>
    <w:p>
      <w:pPr>
        <w:adjustRightInd w:val="0"/>
        <w:snapToGrid w:val="0"/>
        <w:ind w:right="24"/>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法定代表人身份证明(法定代表人参加磋商)</w:t>
      </w:r>
    </w:p>
    <w:p>
      <w:pPr>
        <w:snapToGrid w:val="0"/>
        <w:spacing w:line="480" w:lineRule="auto"/>
        <w:rPr>
          <w:rFonts w:hint="eastAsia" w:asciiTheme="minorEastAsia" w:hAnsiTheme="minorEastAsia" w:eastAsiaTheme="minorEastAsia" w:cstheme="minorEastAsia"/>
          <w:color w:val="auto"/>
          <w:szCs w:val="21"/>
        </w:rPr>
      </w:pPr>
    </w:p>
    <w:p>
      <w:pPr>
        <w:autoSpaceDE w:val="0"/>
        <w:autoSpaceDN w:val="0"/>
        <w:adjustRightInd w:val="0"/>
        <w:snapToGrid w:val="0"/>
        <w:spacing w:beforeLines="5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供应商</w:t>
      </w:r>
      <w:r>
        <w:rPr>
          <w:rFonts w:hint="eastAsia" w:asciiTheme="minorEastAsia" w:hAnsiTheme="minorEastAsia" w:eastAsiaTheme="minorEastAsia" w:cstheme="minorEastAsia"/>
          <w:color w:val="auto"/>
          <w:kern w:val="0"/>
          <w:szCs w:val="21"/>
        </w:rPr>
        <w:t>名称：</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napToGrid w:val="0"/>
        <w:spacing w:beforeLines="5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注册号：</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napToGrid w:val="0"/>
        <w:spacing w:beforeLines="5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注册地址：</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napToGrid w:val="0"/>
        <w:spacing w:beforeLines="5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成立时间：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日</w:t>
      </w:r>
    </w:p>
    <w:p>
      <w:pPr>
        <w:autoSpaceDE w:val="0"/>
        <w:autoSpaceDN w:val="0"/>
        <w:adjustRightInd w:val="0"/>
        <w:snapToGrid w:val="0"/>
        <w:spacing w:beforeLines="50"/>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经营期限：</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napToGrid w:val="0"/>
        <w:spacing w:beforeLines="50"/>
        <w:jc w:val="left"/>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经营范围：主营：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；兼营：</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napToGrid w:val="0"/>
        <w:spacing w:beforeLines="5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姓名：</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性别：</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年龄：</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系</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szCs w:val="21"/>
        </w:rPr>
        <w:t>供应商</w:t>
      </w:r>
      <w:r>
        <w:rPr>
          <w:rFonts w:hint="eastAsia" w:asciiTheme="minorEastAsia" w:hAnsiTheme="minorEastAsia" w:eastAsiaTheme="minorEastAsia" w:cstheme="minorEastAsia"/>
          <w:color w:val="auto"/>
          <w:kern w:val="0"/>
          <w:szCs w:val="21"/>
        </w:rPr>
        <w:t>名称）的法定代表人。</w:t>
      </w:r>
    </w:p>
    <w:p>
      <w:pPr>
        <w:autoSpaceDE w:val="0"/>
        <w:autoSpaceDN w:val="0"/>
        <w:adjustRightInd w:val="0"/>
        <w:snapToGrid w:val="0"/>
        <w:spacing w:beforeLines="5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特此证明。</w:t>
      </w:r>
    </w:p>
    <w:p>
      <w:pPr>
        <w:autoSpaceDE w:val="0"/>
        <w:autoSpaceDN w:val="0"/>
        <w:adjustRightInd w:val="0"/>
        <w:snapToGrid w:val="0"/>
        <w:spacing w:beforeLines="5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附：法定代表人身份证复印件</w:t>
      </w:r>
    </w:p>
    <w:p>
      <w:pPr>
        <w:snapToGrid w:val="0"/>
        <w:spacing w:line="480" w:lineRule="auto"/>
        <w:rPr>
          <w:rFonts w:hint="eastAsia" w:asciiTheme="minorEastAsia" w:hAnsiTheme="minorEastAsia" w:eastAsiaTheme="minorEastAsia" w:cstheme="minorEastAsia"/>
          <w:color w:val="auto"/>
          <w:szCs w:val="21"/>
        </w:rPr>
      </w:pPr>
    </w:p>
    <w:p>
      <w:pPr>
        <w:snapToGrid w:val="0"/>
        <w:rPr>
          <w:rFonts w:hint="eastAsia" w:asciiTheme="minorEastAsia" w:hAnsiTheme="minorEastAsia" w:eastAsiaTheme="minorEastAsia" w:cstheme="minorEastAsia"/>
          <w:color w:val="auto"/>
          <w:szCs w:val="21"/>
        </w:rPr>
      </w:pPr>
    </w:p>
    <w:p>
      <w:pPr>
        <w:snapToGrid w:val="0"/>
        <w:rPr>
          <w:rFonts w:hint="eastAsia" w:asciiTheme="minorEastAsia" w:hAnsiTheme="minorEastAsia" w:eastAsiaTheme="minorEastAsia" w:cstheme="minorEastAsia"/>
          <w:color w:val="auto"/>
          <w:szCs w:val="21"/>
        </w:rPr>
      </w:pPr>
    </w:p>
    <w:p>
      <w:pPr>
        <w:snapToGrid w:val="0"/>
        <w:rPr>
          <w:rFonts w:hint="eastAsia" w:asciiTheme="minorEastAsia" w:hAnsiTheme="minorEastAsia" w:eastAsiaTheme="minorEastAsia" w:cstheme="minorEastAsia"/>
          <w:color w:val="auto"/>
          <w:szCs w:val="21"/>
        </w:rPr>
      </w:pPr>
    </w:p>
    <w:p>
      <w:pPr>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ind w:right="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供应商名称（盖单位章）：</w:t>
      </w:r>
    </w:p>
    <w:p>
      <w:pPr>
        <w:adjustRightInd w:val="0"/>
        <w:snapToGrid w:val="0"/>
        <w:ind w:right="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日      </w:t>
      </w:r>
    </w:p>
    <w:p>
      <w:pPr>
        <w:adjustRightInd w:val="0"/>
        <w:snapToGrid w:val="0"/>
        <w:spacing w:beforeLines="50"/>
        <w:rPr>
          <w:rFonts w:hint="eastAsia" w:asciiTheme="minorEastAsia" w:hAnsiTheme="minorEastAsia" w:eastAsiaTheme="minorEastAsia" w:cstheme="minorEastAsia"/>
          <w:color w:val="auto"/>
          <w:szCs w:val="21"/>
        </w:rPr>
      </w:pPr>
    </w:p>
    <w:p>
      <w:pPr>
        <w:widowControl/>
        <w:spacing w:line="240" w:lineRule="auto"/>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br w:type="page"/>
      </w:r>
    </w:p>
    <w:p>
      <w:pPr>
        <w:adjustRightInd w:val="0"/>
        <w:snapToGrid w:val="0"/>
        <w:spacing w:beforeLines="50"/>
        <w:rPr>
          <w:rFonts w:hint="eastAsia" w:asciiTheme="minorEastAsia" w:hAnsiTheme="minorEastAsia" w:eastAsiaTheme="minorEastAsia" w:cstheme="minorEastAsia"/>
          <w:bCs/>
          <w:color w:val="auto"/>
          <w:sz w:val="24"/>
        </w:rPr>
      </w:pPr>
    </w:p>
    <w:p>
      <w:pPr>
        <w:adjustRightInd w:val="0"/>
        <w:snapToGrid w:val="0"/>
        <w:spacing w:beforeLines="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附件2</w:t>
      </w:r>
      <w:r>
        <w:rPr>
          <w:rFonts w:hint="eastAsia" w:asciiTheme="minorEastAsia" w:hAnsiTheme="minorEastAsia" w:eastAsiaTheme="minorEastAsia" w:cstheme="minorEastAsia"/>
          <w:color w:val="auto"/>
          <w:sz w:val="24"/>
        </w:rPr>
        <w:t>：</w:t>
      </w:r>
    </w:p>
    <w:p>
      <w:pPr>
        <w:adjustRightInd w:val="0"/>
        <w:snapToGrid w:val="0"/>
        <w:ind w:right="24"/>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法定代表人授权书(委托代理人参加磋商)</w:t>
      </w:r>
    </w:p>
    <w:p>
      <w:pPr>
        <w:adjustRightInd w:val="0"/>
        <w:snapToGrid w:val="0"/>
        <w:jc w:val="center"/>
        <w:rPr>
          <w:rFonts w:hint="eastAsia" w:asciiTheme="minorEastAsia" w:hAnsiTheme="minorEastAsia" w:eastAsiaTheme="minorEastAsia" w:cstheme="minorEastAsia"/>
          <w:b/>
          <w:color w:val="auto"/>
          <w:sz w:val="28"/>
          <w:szCs w:val="28"/>
        </w:rPr>
      </w:pPr>
    </w:p>
    <w:p>
      <w:pPr>
        <w:autoSpaceDE w:val="0"/>
        <w:autoSpaceDN w:val="0"/>
        <w:adjustRightInd w:val="0"/>
        <w:snapToGrid w:val="0"/>
        <w:spacing w:beforeLines="5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（姓名、职务）系</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szCs w:val="21"/>
        </w:rPr>
        <w:t>供应商</w:t>
      </w:r>
      <w:r>
        <w:rPr>
          <w:rFonts w:hint="eastAsia" w:asciiTheme="minorEastAsia" w:hAnsiTheme="minorEastAsia" w:eastAsiaTheme="minorEastAsia" w:cstheme="minorEastAsia"/>
          <w:color w:val="auto"/>
          <w:kern w:val="0"/>
          <w:szCs w:val="21"/>
        </w:rPr>
        <w:t>名称）的法定代表人，现授权</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（姓名、职务）为我方代理人。代理人根据授权，以我方名义：(1)签署、澄清、补正、修改、撤回、提交</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（项目名称、采购编号、采购代理机构编号）响应文件；(2)签署并重新提交响应文件及最后报价；(3)退出磋商；(4)签订合同和处理有关事宜，其法律后果由我方承担。</w:t>
      </w:r>
    </w:p>
    <w:p>
      <w:pPr>
        <w:autoSpaceDE w:val="0"/>
        <w:autoSpaceDN w:val="0"/>
        <w:adjustRightInd w:val="0"/>
        <w:snapToGrid w:val="0"/>
        <w:spacing w:beforeLines="5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委托期限：</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ind w:firstLine="435"/>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代理人无转委托权。</w:t>
      </w:r>
    </w:p>
    <w:p>
      <w:pPr>
        <w:ind w:firstLine="43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本授权书于</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日签字生效，特此声明。</w:t>
      </w:r>
    </w:p>
    <w:p>
      <w:pPr>
        <w:adjustRightInd w:val="0"/>
        <w:snapToGrid w:val="0"/>
        <w:spacing w:beforeLines="50"/>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附：委托代理人身份证复印件及法定代表人身份证明(附件1，原件)</w:t>
      </w:r>
    </w:p>
    <w:p>
      <w:pPr>
        <w:adjustRightInd w:val="0"/>
        <w:snapToGrid w:val="0"/>
        <w:ind w:right="420"/>
        <w:rPr>
          <w:rFonts w:hint="eastAsia" w:asciiTheme="minorEastAsia" w:hAnsiTheme="minorEastAsia" w:eastAsiaTheme="minorEastAsia" w:cstheme="minorEastAsia"/>
          <w:color w:val="auto"/>
          <w:szCs w:val="21"/>
        </w:rPr>
      </w:pPr>
    </w:p>
    <w:p>
      <w:pPr>
        <w:adjustRightInd w:val="0"/>
        <w:snapToGrid w:val="0"/>
        <w:ind w:right="420"/>
        <w:rPr>
          <w:rFonts w:hint="eastAsia" w:asciiTheme="minorEastAsia" w:hAnsiTheme="minorEastAsia" w:eastAsiaTheme="minorEastAsia" w:cstheme="minorEastAsia"/>
          <w:color w:val="auto"/>
          <w:szCs w:val="21"/>
        </w:rPr>
      </w:pPr>
    </w:p>
    <w:p>
      <w:pPr>
        <w:adjustRightInd w:val="0"/>
        <w:snapToGrid w:val="0"/>
        <w:ind w:right="420"/>
        <w:rPr>
          <w:rFonts w:hint="eastAsia" w:asciiTheme="minorEastAsia" w:hAnsiTheme="minorEastAsia" w:eastAsiaTheme="minorEastAsia" w:cstheme="minorEastAsia"/>
          <w:color w:val="auto"/>
          <w:szCs w:val="21"/>
        </w:rPr>
      </w:pPr>
    </w:p>
    <w:p>
      <w:pPr>
        <w:adjustRightInd w:val="0"/>
        <w:snapToGrid w:val="0"/>
        <w:ind w:right="420"/>
        <w:rPr>
          <w:rFonts w:hint="eastAsia" w:asciiTheme="minorEastAsia" w:hAnsiTheme="minorEastAsia" w:eastAsiaTheme="minorEastAsia" w:cstheme="minorEastAsia"/>
          <w:color w:val="auto"/>
          <w:szCs w:val="21"/>
        </w:rPr>
      </w:pPr>
    </w:p>
    <w:p>
      <w:pPr>
        <w:adjustRightInd w:val="0"/>
        <w:snapToGrid w:val="0"/>
        <w:ind w:right="420"/>
        <w:rPr>
          <w:rFonts w:hint="eastAsia" w:asciiTheme="minorEastAsia" w:hAnsiTheme="minorEastAsia" w:eastAsiaTheme="minorEastAsia" w:cstheme="minorEastAsia"/>
          <w:color w:val="auto"/>
          <w:szCs w:val="21"/>
        </w:rPr>
      </w:pPr>
    </w:p>
    <w:p>
      <w:pPr>
        <w:adjustRightInd w:val="0"/>
        <w:snapToGrid w:val="0"/>
        <w:ind w:right="420"/>
        <w:rPr>
          <w:rFonts w:hint="eastAsia" w:asciiTheme="minorEastAsia" w:hAnsiTheme="minorEastAsia" w:eastAsiaTheme="minorEastAsia" w:cstheme="minorEastAsia"/>
          <w:color w:val="auto"/>
          <w:szCs w:val="21"/>
        </w:rPr>
      </w:pPr>
    </w:p>
    <w:p>
      <w:pPr>
        <w:adjustRightInd w:val="0"/>
        <w:snapToGrid w:val="0"/>
        <w:ind w:right="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法定代表人（签字）：</w:t>
      </w:r>
      <w:r>
        <w:rPr>
          <w:rFonts w:hint="eastAsia" w:asciiTheme="minorEastAsia" w:hAnsiTheme="minorEastAsia" w:eastAsiaTheme="minorEastAsia" w:cstheme="minorEastAsia"/>
          <w:color w:val="auto"/>
          <w:szCs w:val="21"/>
          <w:u w:val="single"/>
        </w:rPr>
        <w:t xml:space="preserve">                     </w:t>
      </w:r>
    </w:p>
    <w:p>
      <w:pPr>
        <w:adjustRightInd w:val="0"/>
        <w:snapToGrid w:val="0"/>
        <w:ind w:right="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委托代理人（签字）：</w:t>
      </w:r>
      <w:r>
        <w:rPr>
          <w:rFonts w:hint="eastAsia" w:asciiTheme="minorEastAsia" w:hAnsiTheme="minorEastAsia" w:eastAsiaTheme="minorEastAsia" w:cstheme="minorEastAsia"/>
          <w:color w:val="auto"/>
          <w:szCs w:val="21"/>
          <w:u w:val="single"/>
        </w:rPr>
        <w:t xml:space="preserve">                     </w:t>
      </w:r>
    </w:p>
    <w:p>
      <w:pPr>
        <w:adjustRightInd w:val="0"/>
        <w:snapToGrid w:val="0"/>
        <w:ind w:right="24"/>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exact"/>
        <w:rPr>
          <w:rFonts w:hint="eastAsia" w:asciiTheme="minorEastAsia" w:hAnsiTheme="minorEastAsia" w:eastAsiaTheme="minorEastAsia" w:cstheme="minorEastAsia"/>
          <w:b/>
          <w:color w:val="auto"/>
        </w:rPr>
      </w:pPr>
    </w:p>
    <w:p>
      <w:pPr>
        <w:spacing w:line="360" w:lineRule="exact"/>
        <w:rPr>
          <w:rFonts w:hint="eastAsia" w:asciiTheme="minorEastAsia" w:hAnsiTheme="minorEastAsia" w:eastAsiaTheme="minorEastAsia" w:cstheme="minorEastAsia"/>
          <w:b/>
          <w:color w:val="auto"/>
        </w:rPr>
      </w:pPr>
    </w:p>
    <w:p>
      <w:pPr>
        <w:widowControl/>
        <w:spacing w:line="240" w:lineRule="auto"/>
        <w:jc w:val="left"/>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spacing w:line="36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rPr>
        <w:t>附件3</w:t>
      </w:r>
    </w:p>
    <w:p>
      <w:pPr>
        <w:adjustRightInd w:val="0"/>
        <w:snapToGrid w:val="0"/>
        <w:spacing w:line="480" w:lineRule="exact"/>
        <w:jc w:val="center"/>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rPr>
        <w:t>工程质量保修书(工程类项目适用)</w:t>
      </w:r>
    </w:p>
    <w:p>
      <w:pPr>
        <w:adjustRightInd w:val="0"/>
        <w:snapToGrid w:val="0"/>
        <w:spacing w:line="360" w:lineRule="auto"/>
        <w:rPr>
          <w:rFonts w:hint="eastAsia" w:asciiTheme="minorEastAsia" w:hAnsiTheme="minorEastAsia" w:eastAsiaTheme="minorEastAsia" w:cstheme="minorEastAsia"/>
          <w:color w:val="auto"/>
          <w:sz w:val="24"/>
          <w:szCs w:val="18"/>
        </w:rPr>
      </w:pP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发包人：（全称）</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承包人：（全称）</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ind w:firstLine="480"/>
        <w:rPr>
          <w:rFonts w:hint="eastAsia" w:asciiTheme="minorEastAsia" w:hAnsiTheme="minorEastAsia" w:eastAsiaTheme="minorEastAsia" w:cstheme="minorEastAsia"/>
          <w:color w:val="auto"/>
          <w:szCs w:val="21"/>
          <w:u w:val="single"/>
        </w:rPr>
      </w:pP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为保证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adjustRightInd w:val="0"/>
        <w:snapToGrid w:val="0"/>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 质量保修范围</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 质量保修期</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质量保修期从工程实际竣工验收合格之日起计算。单项竣工验收的工程，按单项工程分别计算质量保修期。</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双方根据《建设工程质量管理条例》及有关规定，约定本工程质量保修期如下：</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（1）地基基础工程、主体结构工程为设计文件规定的合理使用年限；</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（2）屋面防水工程、有防水要求的卫生间、房间和外墙面的防渗漏工程为：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（3）电气管线工程、给排水管道、设备安装工程为：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（4）供热、供冷系统工程为：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个采暖期、供冷期；</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（5）装饰装修工程为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（6）其他项目</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p>
    <w:p>
      <w:pPr>
        <w:adjustRightInd w:val="0"/>
        <w:snapToGrid w:val="0"/>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 质量保修责任</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 属于保修范围的项目，承包人应在接到通知后的7天内派人保修，承包人不在约定期限内派人保修，发包人可自行或指派第三方保修。</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发生紧急抢修事故的，承包人在接到通知后，应立即到达事故现场抢修。</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 质量保修完成后，由发包人组织验收。</w:t>
      </w:r>
    </w:p>
    <w:p>
      <w:pPr>
        <w:adjustRightInd w:val="0"/>
        <w:snapToGrid w:val="0"/>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 质量保修费用</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质量保修费用及相关的损害赔偿费，由造成质量缺陷的责任方承担。</w:t>
      </w:r>
    </w:p>
    <w:p>
      <w:pPr>
        <w:adjustRightInd w:val="0"/>
        <w:snapToGrid w:val="0"/>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 质量保证金</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质量保证金的使用、约定、支付、返还与本合同的质量保证金赋予的约定一致。</w:t>
      </w:r>
    </w:p>
    <w:p>
      <w:pPr>
        <w:adjustRightInd w:val="0"/>
        <w:snapToGrid w:val="0"/>
        <w:spacing w:line="360" w:lineRule="auto"/>
        <w:ind w:firstLine="422"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 其他</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6.1 双方约定的其它工程质量保修事项：</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 本工程质量保修书，由发包人承包人在工程竣工验收前签署，作为合同附件，其有效期限至保修期满。</w:t>
      </w:r>
    </w:p>
    <w:p>
      <w:pPr>
        <w:adjustRightInd w:val="0"/>
        <w:snapToGrid w:val="0"/>
        <w:spacing w:line="360" w:lineRule="auto"/>
        <w:ind w:firstLine="480"/>
        <w:rPr>
          <w:rFonts w:hint="eastAsia" w:asciiTheme="minorEastAsia" w:hAnsiTheme="minorEastAsia" w:eastAsiaTheme="minorEastAsia" w:cstheme="minorEastAsia"/>
          <w:color w:val="auto"/>
          <w:szCs w:val="21"/>
        </w:rPr>
      </w:pPr>
    </w:p>
    <w:p>
      <w:pPr>
        <w:adjustRightInd w:val="0"/>
        <w:snapToGrid w:val="0"/>
        <w:spacing w:line="360" w:lineRule="auto"/>
        <w:ind w:firstLine="480"/>
        <w:rPr>
          <w:rFonts w:hint="eastAsia" w:asciiTheme="minorEastAsia" w:hAnsiTheme="minorEastAsia" w:eastAsiaTheme="minorEastAsia" w:cstheme="minorEastAsia"/>
          <w:color w:val="auto"/>
          <w:szCs w:val="21"/>
        </w:rPr>
      </w:pP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发包人（公章）：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承包人（公章）：</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ind w:firstLine="420" w:firstLineChars="200"/>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法定代表人（签字）：</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法定代表人（签字）：</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ind w:firstLine="525" w:firstLineChars="25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p>
    <w:p>
      <w:pPr>
        <w:pStyle w:val="29"/>
        <w:adjustRightInd w:val="0"/>
        <w:snapToGrid w:val="0"/>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二、保证金</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人必须以企业法人的名义提交投标保证金。在投标截止前按照湘潭市公共资源交易电子化平台要求由投标人基本账户转入本投标单位申请到的投标保证金收款账户。（详见http://ggzy.xiangtan.gov.cn/zlxz/3480.jhtml）</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t xml:space="preserve">   2、各投标人需在递交投标保证金前确保本单位在湘潭市公共资源交易电子化平台系统中录入的基本账户与本企业的基本账户一致，如存在不一致的情况，需要及时到信息管理科进行变更备案。</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3、投标保证金到账截止时间</w:t>
      </w:r>
      <w:r>
        <w:rPr>
          <w:rFonts w:hint="eastAsia" w:asciiTheme="minorEastAsia" w:hAnsiTheme="minorEastAsia" w:eastAsiaTheme="minorEastAsia" w:cstheme="minorEastAsia"/>
          <w:color w:val="auto"/>
          <w:szCs w:val="21"/>
          <w:lang w:eastAsia="zh-CN"/>
        </w:rPr>
        <w:t>同</w:t>
      </w:r>
      <w:r>
        <w:rPr>
          <w:rFonts w:hint="eastAsia" w:asciiTheme="minorEastAsia" w:hAnsiTheme="minorEastAsia" w:eastAsiaTheme="minorEastAsia" w:cstheme="minorEastAsia"/>
          <w:color w:val="auto"/>
          <w:szCs w:val="21"/>
        </w:rPr>
        <w:t>投标截止时间，转账凭证于开标现场递交。</w:t>
      </w:r>
    </w:p>
    <w:p>
      <w:pPr>
        <w:pStyle w:val="484"/>
        <w:snapToGrid w:val="0"/>
        <w:spacing w:line="500" w:lineRule="exact"/>
        <w:ind w:firstLine="422" w:firstLineChars="20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特别提示：</w:t>
      </w:r>
    </w:p>
    <w:p>
      <w:pPr>
        <w:adjustRightInd w:val="0"/>
        <w:snapToGrid w:val="0"/>
        <w:spacing w:line="500" w:lineRule="exact"/>
        <w:ind w:firstLine="420" w:firstLineChars="200"/>
        <w:rPr>
          <w:rFonts w:hint="eastAsia"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snapToGrid w:val="0"/>
          <w:color w:val="auto"/>
          <w:szCs w:val="21"/>
        </w:rPr>
        <w:t>1、 开标现场由</w:t>
      </w:r>
      <w:r>
        <w:rPr>
          <w:rFonts w:hint="eastAsia" w:asciiTheme="minorEastAsia" w:hAnsiTheme="minorEastAsia" w:eastAsiaTheme="minorEastAsia" w:cstheme="minorEastAsia"/>
          <w:snapToGrid w:val="0"/>
          <w:color w:val="auto"/>
          <w:szCs w:val="21"/>
          <w:lang w:eastAsia="zh-CN"/>
        </w:rPr>
        <w:t>采购单位</w:t>
      </w:r>
      <w:r>
        <w:rPr>
          <w:rFonts w:hint="eastAsia" w:asciiTheme="minorEastAsia" w:hAnsiTheme="minorEastAsia" w:eastAsiaTheme="minorEastAsia" w:cstheme="minorEastAsia"/>
          <w:snapToGrid w:val="0"/>
          <w:color w:val="auto"/>
          <w:szCs w:val="21"/>
        </w:rPr>
        <w:t>或其委托的招标代理机构查验投标保证金情况，以交易中心核对投标人单位</w:t>
      </w:r>
      <w:r>
        <w:rPr>
          <w:rFonts w:hint="eastAsia" w:asciiTheme="minorEastAsia" w:hAnsiTheme="minorEastAsia" w:eastAsiaTheme="minorEastAsia" w:cstheme="minorEastAsia"/>
          <w:bCs/>
          <w:snapToGrid w:val="0"/>
          <w:color w:val="auto"/>
          <w:szCs w:val="21"/>
        </w:rPr>
        <w:t>账户</w:t>
      </w:r>
      <w:r>
        <w:rPr>
          <w:rFonts w:hint="eastAsia" w:asciiTheme="minorEastAsia" w:hAnsiTheme="minorEastAsia" w:eastAsiaTheme="minorEastAsia" w:cstheme="minorEastAsia"/>
          <w:snapToGrid w:val="0"/>
          <w:color w:val="auto"/>
          <w:szCs w:val="21"/>
        </w:rPr>
        <w:t>相符的银行到账单原件为准，各投标单位仅须在投标文件中提供</w:t>
      </w:r>
      <w:r>
        <w:rPr>
          <w:rFonts w:hint="eastAsia" w:asciiTheme="minorEastAsia" w:hAnsiTheme="minorEastAsia" w:eastAsiaTheme="minorEastAsia" w:cstheme="minorEastAsia"/>
          <w:color w:val="auto"/>
          <w:szCs w:val="21"/>
        </w:rPr>
        <w:t>投标保证金收据</w:t>
      </w:r>
      <w:r>
        <w:rPr>
          <w:rFonts w:hint="eastAsia" w:asciiTheme="minorEastAsia" w:hAnsiTheme="minorEastAsia" w:eastAsiaTheme="minorEastAsia" w:cstheme="minorEastAsia"/>
          <w:snapToGrid w:val="0"/>
          <w:color w:val="auto"/>
          <w:szCs w:val="21"/>
        </w:rPr>
        <w:t>的复印件或扫描件。</w:t>
      </w:r>
    </w:p>
    <w:p>
      <w:pPr>
        <w:adjustRightInd w:val="0"/>
        <w:snapToGrid w:val="0"/>
        <w:spacing w:line="500" w:lineRule="exact"/>
        <w:ind w:firstLine="420" w:firstLineChars="200"/>
        <w:rPr>
          <w:rFonts w:hint="eastAsia" w:asciiTheme="minorEastAsia" w:hAnsiTheme="minorEastAsia" w:eastAsiaTheme="minorEastAsia" w:cstheme="minorEastAsia"/>
          <w:snapToGrid w:val="0"/>
          <w:color w:val="auto"/>
          <w:szCs w:val="21"/>
          <w:u w:val="single"/>
        </w:rPr>
      </w:pPr>
      <w:r>
        <w:rPr>
          <w:rFonts w:hint="eastAsia" w:asciiTheme="minorEastAsia" w:hAnsiTheme="minorEastAsia" w:eastAsiaTheme="minorEastAsia" w:cstheme="minorEastAsia"/>
          <w:snapToGrid w:val="0"/>
          <w:color w:val="auto"/>
          <w:szCs w:val="21"/>
        </w:rPr>
        <w:t>2、</w:t>
      </w:r>
      <w:r>
        <w:rPr>
          <w:rFonts w:hint="eastAsia" w:asciiTheme="minorEastAsia" w:hAnsiTheme="minorEastAsia" w:eastAsiaTheme="minorEastAsia" w:cstheme="minorEastAsia"/>
          <w:b/>
          <w:snapToGrid w:val="0"/>
          <w:color w:val="auto"/>
          <w:szCs w:val="21"/>
          <w:u w:val="single"/>
        </w:rPr>
        <w:t>因银行和收款方在开标前均无法查询保证金到账情况，建议投标人尽量提前递交投标保证金，并密切关注是否有被退回的情况，避免因未按招标文件要求递交投标保证金而导致废标</w:t>
      </w:r>
      <w:r>
        <w:rPr>
          <w:rFonts w:hint="eastAsia" w:asciiTheme="minorEastAsia" w:hAnsiTheme="minorEastAsia" w:eastAsiaTheme="minorEastAsia" w:cstheme="minorEastAsia"/>
          <w:snapToGrid w:val="0"/>
          <w:color w:val="auto"/>
          <w:szCs w:val="21"/>
        </w:rPr>
        <w:t>。</w:t>
      </w:r>
    </w:p>
    <w:p>
      <w:pPr>
        <w:adjustRightInd w:val="0"/>
        <w:snapToGrid w:val="0"/>
        <w:spacing w:line="500" w:lineRule="exact"/>
        <w:ind w:firstLine="420" w:firstLineChars="200"/>
        <w:rPr>
          <w:rFonts w:hint="eastAsia" w:asciiTheme="minorEastAsia" w:hAnsiTheme="minorEastAsia" w:eastAsiaTheme="minorEastAsia" w:cstheme="minorEastAsia"/>
          <w:snapToGrid w:val="0"/>
          <w:color w:val="auto"/>
          <w:szCs w:val="21"/>
          <w:u w:val="single"/>
        </w:rPr>
      </w:pPr>
      <w:r>
        <w:rPr>
          <w:rFonts w:hint="eastAsia" w:asciiTheme="minorEastAsia" w:hAnsiTheme="minorEastAsia" w:eastAsiaTheme="minorEastAsia" w:cstheme="minorEastAsia"/>
          <w:snapToGrid w:val="0"/>
          <w:color w:val="auto"/>
          <w:szCs w:val="21"/>
        </w:rPr>
        <w:t>2、</w:t>
      </w:r>
      <w:r>
        <w:rPr>
          <w:rFonts w:hint="eastAsia" w:asciiTheme="minorEastAsia" w:hAnsiTheme="minorEastAsia" w:eastAsiaTheme="minorEastAsia" w:cstheme="minorEastAsia"/>
          <w:b/>
          <w:snapToGrid w:val="0"/>
          <w:color w:val="auto"/>
          <w:szCs w:val="21"/>
          <w:u w:val="single"/>
        </w:rPr>
        <w:t>投标人不按招标文件要求提交投标保证金的,视为不合格投标人</w:t>
      </w:r>
      <w:r>
        <w:rPr>
          <w:rFonts w:hint="eastAsia" w:asciiTheme="minorEastAsia" w:hAnsiTheme="minorEastAsia" w:eastAsiaTheme="minorEastAsia" w:cstheme="minorEastAsia"/>
          <w:snapToGrid w:val="0"/>
          <w:color w:val="auto"/>
          <w:szCs w:val="21"/>
        </w:rPr>
        <w:t>。</w:t>
      </w:r>
    </w:p>
    <w:p>
      <w:pPr>
        <w:adjustRightInd w:val="0"/>
        <w:snapToGrid w:val="0"/>
        <w:spacing w:line="500" w:lineRule="exact"/>
        <w:ind w:firstLine="420" w:firstLineChars="200"/>
        <w:rPr>
          <w:rFonts w:hint="eastAsia"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snapToGrid w:val="0"/>
          <w:color w:val="auto"/>
          <w:szCs w:val="21"/>
        </w:rPr>
        <w:t>3、未</w:t>
      </w:r>
      <w:r>
        <w:rPr>
          <w:rFonts w:hint="eastAsia" w:asciiTheme="minorEastAsia" w:hAnsiTheme="minorEastAsia" w:eastAsiaTheme="minorEastAsia" w:cstheme="minorEastAsia"/>
          <w:snapToGrid w:val="0"/>
          <w:color w:val="auto"/>
          <w:szCs w:val="21"/>
          <w:lang w:eastAsia="zh-CN"/>
        </w:rPr>
        <w:t>成交</w:t>
      </w:r>
      <w:r>
        <w:rPr>
          <w:rFonts w:hint="eastAsia" w:asciiTheme="minorEastAsia" w:hAnsiTheme="minorEastAsia" w:eastAsiaTheme="minorEastAsia" w:cstheme="minorEastAsia"/>
          <w:snapToGrid w:val="0"/>
          <w:color w:val="auto"/>
          <w:szCs w:val="21"/>
        </w:rPr>
        <w:t>单位的投标保证金在中标公示期满后五个工作日内由收款人以银行转帐方式自动退还给投标人。</w:t>
      </w:r>
    </w:p>
    <w:p>
      <w:pPr>
        <w:numPr>
          <w:ilvl w:val="0"/>
          <w:numId w:val="21"/>
        </w:numPr>
        <w:adjustRightInd w:val="0"/>
        <w:snapToGrid w:val="0"/>
        <w:spacing w:line="500" w:lineRule="exact"/>
        <w:ind w:firstLine="420" w:firstLineChars="200"/>
        <w:rPr>
          <w:rFonts w:hint="eastAsia"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snapToGrid w:val="0"/>
          <w:color w:val="auto"/>
          <w:szCs w:val="21"/>
          <w:lang w:eastAsia="zh-CN"/>
        </w:rPr>
        <w:t>成交</w:t>
      </w:r>
      <w:r>
        <w:rPr>
          <w:rFonts w:hint="eastAsia" w:asciiTheme="minorEastAsia" w:hAnsiTheme="minorEastAsia" w:eastAsiaTheme="minorEastAsia" w:cstheme="minorEastAsia"/>
          <w:snapToGrid w:val="0"/>
          <w:color w:val="auto"/>
          <w:szCs w:val="21"/>
        </w:rPr>
        <w:t>单位的投标保证金经采购人同意退还后，五日内由收款人以银行转账方式予以退还。</w:t>
      </w:r>
    </w:p>
    <w:p>
      <w:pPr>
        <w:adjustRightInd w:val="0"/>
        <w:snapToGrid w:val="0"/>
        <w:spacing w:line="360" w:lineRule="auto"/>
        <w:ind w:firstLine="422" w:firstLineChars="200"/>
        <w:rPr>
          <w:rFonts w:hint="eastAsia" w:asciiTheme="minorEastAsia" w:hAnsiTheme="minorEastAsia" w:eastAsiaTheme="minorEastAsia" w:cstheme="minorEastAsia"/>
          <w:b/>
          <w:snapToGrid w:val="0"/>
          <w:color w:val="auto"/>
          <w:szCs w:val="21"/>
        </w:rPr>
      </w:pPr>
      <w:r>
        <w:rPr>
          <w:rFonts w:hint="eastAsia" w:asciiTheme="minorEastAsia" w:hAnsiTheme="minorEastAsia" w:eastAsiaTheme="minorEastAsia" w:cstheme="minorEastAsia"/>
          <w:b/>
          <w:snapToGrid w:val="0"/>
          <w:color w:val="auto"/>
          <w:szCs w:val="21"/>
        </w:rPr>
        <w:t>5、投标人有下列情况之一的，将不予退回投标保证金：</w:t>
      </w:r>
    </w:p>
    <w:p>
      <w:pPr>
        <w:adjustRightInd w:val="0"/>
        <w:snapToGrid w:val="0"/>
        <w:spacing w:line="360" w:lineRule="auto"/>
        <w:ind w:firstLine="420" w:firstLineChars="200"/>
        <w:rPr>
          <w:rFonts w:hint="eastAsia"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snapToGrid w:val="0"/>
          <w:color w:val="auto"/>
          <w:szCs w:val="21"/>
        </w:rPr>
        <w:t>（1）投标人在投标有效期内撤销其投标文件的；</w:t>
      </w:r>
    </w:p>
    <w:p>
      <w:pPr>
        <w:adjustRightInd w:val="0"/>
        <w:snapToGrid w:val="0"/>
        <w:spacing w:line="360" w:lineRule="auto"/>
        <w:ind w:firstLine="420" w:firstLineChars="200"/>
        <w:rPr>
          <w:rFonts w:hint="eastAsia"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snapToGrid w:val="0"/>
          <w:color w:val="auto"/>
          <w:szCs w:val="21"/>
        </w:rPr>
        <w:t>（2）</w:t>
      </w:r>
      <w:r>
        <w:rPr>
          <w:rFonts w:hint="eastAsia" w:asciiTheme="minorEastAsia" w:hAnsiTheme="minorEastAsia" w:eastAsiaTheme="minorEastAsia" w:cstheme="minorEastAsia"/>
          <w:snapToGrid w:val="0"/>
          <w:color w:val="auto"/>
          <w:szCs w:val="21"/>
          <w:lang w:eastAsia="zh-CN"/>
        </w:rPr>
        <w:t>成交</w:t>
      </w:r>
      <w:r>
        <w:rPr>
          <w:rFonts w:hint="eastAsia" w:asciiTheme="minorEastAsia" w:hAnsiTheme="minorEastAsia" w:eastAsiaTheme="minorEastAsia" w:cstheme="minorEastAsia"/>
          <w:snapToGrid w:val="0"/>
          <w:color w:val="auto"/>
          <w:szCs w:val="21"/>
        </w:rPr>
        <w:t>单位无正当理由不与</w:t>
      </w:r>
      <w:r>
        <w:rPr>
          <w:rFonts w:hint="eastAsia" w:asciiTheme="minorEastAsia" w:hAnsiTheme="minorEastAsia" w:eastAsiaTheme="minorEastAsia" w:cstheme="minorEastAsia"/>
          <w:snapToGrid w:val="0"/>
          <w:color w:val="auto"/>
          <w:szCs w:val="21"/>
          <w:lang w:eastAsia="zh-CN"/>
        </w:rPr>
        <w:t>采购单位</w:t>
      </w:r>
      <w:r>
        <w:rPr>
          <w:rFonts w:hint="eastAsia" w:asciiTheme="minorEastAsia" w:hAnsiTheme="minorEastAsia" w:eastAsiaTheme="minorEastAsia" w:cstheme="minorEastAsia"/>
          <w:snapToGrid w:val="0"/>
          <w:color w:val="auto"/>
          <w:szCs w:val="21"/>
        </w:rPr>
        <w:t>订立合同，在签订合同时向</w:t>
      </w:r>
      <w:r>
        <w:rPr>
          <w:rFonts w:hint="eastAsia" w:asciiTheme="minorEastAsia" w:hAnsiTheme="minorEastAsia" w:eastAsiaTheme="minorEastAsia" w:cstheme="minorEastAsia"/>
          <w:snapToGrid w:val="0"/>
          <w:color w:val="auto"/>
          <w:szCs w:val="21"/>
          <w:lang w:eastAsia="zh-CN"/>
        </w:rPr>
        <w:t>采购单位</w:t>
      </w:r>
      <w:r>
        <w:rPr>
          <w:rFonts w:hint="eastAsia" w:asciiTheme="minorEastAsia" w:hAnsiTheme="minorEastAsia" w:eastAsiaTheme="minorEastAsia" w:cstheme="minorEastAsia"/>
          <w:snapToGrid w:val="0"/>
          <w:color w:val="auto"/>
          <w:szCs w:val="21"/>
        </w:rPr>
        <w:t>提出附加条件，或者不按照招标文件要求提交履约保证金的。</w:t>
      </w:r>
    </w:p>
    <w:p>
      <w:pPr>
        <w:pStyle w:val="2"/>
        <w:rPr>
          <w:rFonts w:hint="eastAsia" w:asciiTheme="minorEastAsia" w:hAnsiTheme="minorEastAsia" w:eastAsiaTheme="minorEastAsia" w:cstheme="minorEastAsia"/>
          <w:snapToGrid w:val="0"/>
          <w:color w:val="auto"/>
          <w:szCs w:val="21"/>
        </w:rPr>
      </w:pPr>
    </w:p>
    <w:p>
      <w:pPr>
        <w:pStyle w:val="2"/>
        <w:rPr>
          <w:rFonts w:hint="eastAsia" w:asciiTheme="minorEastAsia" w:hAnsiTheme="minorEastAsia" w:eastAsiaTheme="minorEastAsia" w:cstheme="minorEastAsia"/>
          <w:snapToGrid w:val="0"/>
          <w:color w:val="auto"/>
          <w:szCs w:val="21"/>
        </w:rPr>
      </w:pPr>
    </w:p>
    <w:p>
      <w:pPr>
        <w:pStyle w:val="2"/>
        <w:rPr>
          <w:rFonts w:hint="eastAsia" w:asciiTheme="minorEastAsia" w:hAnsiTheme="minorEastAsia" w:eastAsiaTheme="minorEastAsia" w:cstheme="minorEastAsia"/>
          <w:snapToGrid w:val="0"/>
          <w:color w:val="auto"/>
          <w:szCs w:val="21"/>
        </w:rPr>
      </w:pPr>
    </w:p>
    <w:p>
      <w:pPr>
        <w:pStyle w:val="2"/>
        <w:rPr>
          <w:rFonts w:hint="eastAsia" w:asciiTheme="minorEastAsia" w:hAnsiTheme="minorEastAsia" w:eastAsiaTheme="minorEastAsia" w:cstheme="minorEastAsia"/>
          <w:snapToGrid w:val="0"/>
          <w:color w:val="auto"/>
          <w:szCs w:val="21"/>
        </w:rPr>
      </w:pPr>
    </w:p>
    <w:p>
      <w:pPr>
        <w:pStyle w:val="2"/>
        <w:rPr>
          <w:rFonts w:hint="eastAsia" w:asciiTheme="minorEastAsia" w:hAnsiTheme="minorEastAsia" w:eastAsiaTheme="minorEastAsia" w:cstheme="minorEastAsia"/>
          <w:snapToGrid w:val="0"/>
          <w:color w:val="auto"/>
          <w:szCs w:val="21"/>
        </w:rPr>
      </w:pPr>
    </w:p>
    <w:p>
      <w:pPr>
        <w:pStyle w:val="29"/>
        <w:adjustRightInd w:val="0"/>
        <w:snapToGrid w:val="0"/>
        <w:spacing w:beforeLines="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2"/>
          <w:szCs w:val="32"/>
        </w:rPr>
        <w:t>三、供应商的资格证明材料</w:t>
      </w:r>
    </w:p>
    <w:p>
      <w:pPr>
        <w:spacing w:line="48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附件4：</w:t>
      </w:r>
    </w:p>
    <w:p>
      <w:pPr>
        <w:adjustRightInd w:val="0"/>
        <w:snapToGrid w:val="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供应商基本情况表</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盖供应商单位章</w:t>
      </w:r>
    </w:p>
    <w:tbl>
      <w:tblPr>
        <w:tblStyle w:val="64"/>
        <w:tblW w:w="87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9"/>
        <w:gridCol w:w="592"/>
        <w:gridCol w:w="739"/>
        <w:gridCol w:w="738"/>
        <w:gridCol w:w="766"/>
        <w:gridCol w:w="1242"/>
        <w:gridCol w:w="2812"/>
        <w:gridCol w:w="5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2700"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w:t>
            </w:r>
          </w:p>
        </w:tc>
        <w:tc>
          <w:tcPr>
            <w:tcW w:w="2746" w:type="dxa"/>
            <w:gridSpan w:val="3"/>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2812"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w:t>
            </w:r>
          </w:p>
        </w:tc>
        <w:tc>
          <w:tcPr>
            <w:tcW w:w="508"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70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组织机构代码</w:t>
            </w:r>
          </w:p>
        </w:tc>
        <w:tc>
          <w:tcPr>
            <w:tcW w:w="2746"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281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邮政编码</w:t>
            </w:r>
          </w:p>
        </w:tc>
        <w:tc>
          <w:tcPr>
            <w:tcW w:w="508"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70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委托代理人</w:t>
            </w:r>
          </w:p>
        </w:tc>
        <w:tc>
          <w:tcPr>
            <w:tcW w:w="2746"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281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电子邮箱</w:t>
            </w:r>
          </w:p>
        </w:tc>
        <w:tc>
          <w:tcPr>
            <w:tcW w:w="508"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700"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上年营业收入</w:t>
            </w:r>
          </w:p>
        </w:tc>
        <w:tc>
          <w:tcPr>
            <w:tcW w:w="2746"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281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员工总人数</w:t>
            </w:r>
          </w:p>
        </w:tc>
        <w:tc>
          <w:tcPr>
            <w:tcW w:w="508"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36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营业执照</w:t>
            </w:r>
          </w:p>
        </w:tc>
        <w:tc>
          <w:tcPr>
            <w:tcW w:w="2069"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注册号码</w:t>
            </w:r>
          </w:p>
        </w:tc>
        <w:tc>
          <w:tcPr>
            <w:tcW w:w="76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注册地址</w:t>
            </w:r>
          </w:p>
        </w:tc>
        <w:tc>
          <w:tcPr>
            <w:tcW w:w="332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36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2069"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发证机关</w:t>
            </w:r>
          </w:p>
        </w:tc>
        <w:tc>
          <w:tcPr>
            <w:tcW w:w="76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05" w:firstLineChars="5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发证日期</w:t>
            </w:r>
          </w:p>
        </w:tc>
        <w:tc>
          <w:tcPr>
            <w:tcW w:w="332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36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2069"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营业范围（主营）</w:t>
            </w:r>
          </w:p>
        </w:tc>
        <w:tc>
          <w:tcPr>
            <w:tcW w:w="5328" w:type="dxa"/>
            <w:gridSpan w:val="4"/>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36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2069"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营业范围（兼营）</w:t>
            </w:r>
          </w:p>
        </w:tc>
        <w:tc>
          <w:tcPr>
            <w:tcW w:w="5328" w:type="dxa"/>
            <w:gridSpan w:val="4"/>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05" w:firstLineChars="5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3438"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基本账户开户行及帐号</w:t>
            </w:r>
          </w:p>
        </w:tc>
        <w:tc>
          <w:tcPr>
            <w:tcW w:w="5328" w:type="dxa"/>
            <w:gridSpan w:val="4"/>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3438"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税务登记机关</w:t>
            </w:r>
          </w:p>
        </w:tc>
        <w:tc>
          <w:tcPr>
            <w:tcW w:w="5328" w:type="dxa"/>
            <w:gridSpan w:val="4"/>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3438"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资质名称</w:t>
            </w:r>
          </w:p>
        </w:tc>
        <w:tc>
          <w:tcPr>
            <w:tcW w:w="76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等级</w:t>
            </w:r>
          </w:p>
        </w:tc>
        <w:tc>
          <w:tcPr>
            <w:tcW w:w="124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发证机关</w:t>
            </w:r>
          </w:p>
        </w:tc>
        <w:tc>
          <w:tcPr>
            <w:tcW w:w="332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atLeast"/>
        </w:trPr>
        <w:tc>
          <w:tcPr>
            <w:tcW w:w="3438"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76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332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atLeast"/>
        </w:trPr>
        <w:tc>
          <w:tcPr>
            <w:tcW w:w="3438"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76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332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atLeast"/>
        </w:trPr>
        <w:tc>
          <w:tcPr>
            <w:tcW w:w="3438"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76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332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atLeast"/>
        </w:trPr>
        <w:tc>
          <w:tcPr>
            <w:tcW w:w="3438"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76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c>
          <w:tcPr>
            <w:tcW w:w="3320"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03" w:hRule="atLeast"/>
        </w:trPr>
        <w:tc>
          <w:tcPr>
            <w:tcW w:w="1961"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c>
          <w:tcPr>
            <w:tcW w:w="6805" w:type="dxa"/>
            <w:gridSpan w:val="6"/>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提供营业执照</w:t>
            </w:r>
            <w:r>
              <w:rPr>
                <w:rFonts w:hint="eastAsia" w:asciiTheme="minorEastAsia" w:hAnsiTheme="minorEastAsia" w:eastAsiaTheme="minorEastAsia" w:cstheme="minorEastAsia"/>
                <w:color w:val="auto"/>
              </w:rPr>
              <w:t>和</w:t>
            </w:r>
            <w:r>
              <w:rPr>
                <w:rFonts w:hint="eastAsia" w:asciiTheme="minorEastAsia" w:hAnsiTheme="minorEastAsia" w:eastAsiaTheme="minorEastAsia" w:cstheme="minorEastAsia"/>
                <w:color w:val="auto"/>
                <w:szCs w:val="21"/>
              </w:rPr>
              <w:t>组织机构代码证(副本复印件)</w:t>
            </w:r>
            <w:r>
              <w:rPr>
                <w:rFonts w:hint="eastAsia" w:asciiTheme="minorEastAsia" w:hAnsiTheme="minorEastAsia" w:eastAsiaTheme="minorEastAsia" w:cstheme="minorEastAsia"/>
                <w:color w:val="auto"/>
              </w:rPr>
              <w:t>，其他资料按第四章要求提供。</w:t>
            </w:r>
          </w:p>
        </w:tc>
      </w:tr>
    </w:tbl>
    <w:p>
      <w:pPr>
        <w:topLinePunct/>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备注：招标文件第七章要求投标人提供其他基本情况的，应按其要求提供，提供资料附后。</w:t>
      </w:r>
    </w:p>
    <w:p>
      <w:pPr>
        <w:widowControl/>
        <w:spacing w:line="24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spacing w:line="480" w:lineRule="exact"/>
        <w:rPr>
          <w:rFonts w:hint="eastAsia" w:asciiTheme="minorEastAsia" w:hAnsiTheme="minorEastAsia" w:eastAsiaTheme="minorEastAsia" w:cstheme="minorEastAsia"/>
          <w:color w:val="auto"/>
          <w:sz w:val="24"/>
        </w:rPr>
      </w:pPr>
    </w:p>
    <w:p>
      <w:pPr>
        <w:spacing w:line="48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附件5：</w:t>
      </w:r>
    </w:p>
    <w:p>
      <w:pPr>
        <w:adjustRightInd w:val="0"/>
        <w:snapToGrid w:val="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供应商的资格条件更新材料</w:t>
      </w:r>
    </w:p>
    <w:p>
      <w:pPr>
        <w:adjustRightInd w:val="0"/>
        <w:snapToGrid w:val="0"/>
        <w:spacing w:beforeLines="50"/>
        <w:rPr>
          <w:rFonts w:hint="eastAsia" w:asciiTheme="minorEastAsia" w:hAnsiTheme="minorEastAsia" w:eastAsiaTheme="minorEastAsia" w:cstheme="minorEastAsia"/>
          <w:color w:val="auto"/>
          <w:szCs w:val="21"/>
        </w:rPr>
      </w:pPr>
    </w:p>
    <w:p>
      <w:pPr>
        <w:adjustRightInd w:val="0"/>
        <w:snapToGrid w:val="0"/>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kern w:val="0"/>
          <w:szCs w:val="21"/>
          <w:lang w:val="zh-CN"/>
        </w:rPr>
        <w:t>供应商根据磋商文件第二章第16.1项“</w:t>
      </w:r>
      <w:r>
        <w:rPr>
          <w:rFonts w:hint="eastAsia" w:asciiTheme="minorEastAsia" w:hAnsiTheme="minorEastAsia" w:eastAsiaTheme="minorEastAsia" w:cstheme="minorEastAsia"/>
          <w:color w:val="auto"/>
          <w:szCs w:val="21"/>
        </w:rPr>
        <w:t>在磋商</w:t>
      </w:r>
      <w:r>
        <w:rPr>
          <w:rFonts w:hint="eastAsia" w:asciiTheme="minorEastAsia" w:hAnsiTheme="minorEastAsia" w:eastAsiaTheme="minorEastAsia" w:cstheme="minorEastAsia"/>
          <w:bCs/>
          <w:color w:val="auto"/>
          <w:szCs w:val="21"/>
        </w:rPr>
        <w:t>小组确定邀请供应商名单起</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kern w:val="0"/>
          <w:szCs w:val="21"/>
        </w:rPr>
        <w:t>提交首次响应文件</w:t>
      </w:r>
      <w:r>
        <w:rPr>
          <w:rFonts w:hint="eastAsia" w:asciiTheme="minorEastAsia" w:hAnsiTheme="minorEastAsia" w:eastAsiaTheme="minorEastAsia" w:cstheme="minorEastAsia"/>
          <w:color w:val="auto"/>
          <w:szCs w:val="21"/>
        </w:rPr>
        <w:t>止，供应商资格条件发生重大变化，可能影响资格条件的，供应商应更新或者补充提供的资格证明材料，以证实其各项条件仍能继续满足本章第3.1项规定的供应商资格条件要求</w:t>
      </w:r>
      <w:r>
        <w:rPr>
          <w:rFonts w:hint="eastAsia" w:asciiTheme="minorEastAsia" w:hAnsiTheme="minorEastAsia" w:eastAsiaTheme="minorEastAsia" w:cstheme="minorEastAsia"/>
          <w:color w:val="auto"/>
          <w:kern w:val="0"/>
          <w:szCs w:val="21"/>
          <w:lang w:val="zh-CN"/>
        </w:rPr>
        <w:t>”的规定，应</w:t>
      </w:r>
      <w:r>
        <w:rPr>
          <w:rFonts w:hint="eastAsia" w:asciiTheme="minorEastAsia" w:hAnsiTheme="minorEastAsia" w:eastAsiaTheme="minorEastAsia" w:cstheme="minorEastAsia"/>
          <w:color w:val="auto"/>
          <w:szCs w:val="21"/>
        </w:rPr>
        <w:t>提供的更新或者补充资格证明材料。</w:t>
      </w: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widowControl/>
        <w:spacing w:line="24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spacing w:line="480" w:lineRule="exact"/>
        <w:rPr>
          <w:rFonts w:hint="eastAsia" w:asciiTheme="minorEastAsia" w:hAnsiTheme="minorEastAsia" w:eastAsiaTheme="minorEastAsia" w:cstheme="minorEastAsia"/>
          <w:color w:val="auto"/>
          <w:sz w:val="24"/>
        </w:rPr>
      </w:pPr>
    </w:p>
    <w:p>
      <w:pPr>
        <w:spacing w:line="480" w:lineRule="exac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24"/>
        </w:rPr>
        <w:t xml:space="preserve">附件6    </w:t>
      </w:r>
      <w:r>
        <w:rPr>
          <w:rFonts w:hint="eastAsia" w:asciiTheme="minorEastAsia" w:hAnsiTheme="minorEastAsia" w:eastAsiaTheme="minorEastAsia" w:cstheme="minorEastAsia"/>
          <w:color w:val="auto"/>
          <w:sz w:val="30"/>
          <w:szCs w:val="30"/>
        </w:rPr>
        <w:t xml:space="preserve"> </w:t>
      </w:r>
    </w:p>
    <w:p>
      <w:pPr>
        <w:adjustRightInd w:val="0"/>
        <w:snapToGrid w:val="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磋商文件规定的基本资格条件证明资料</w:t>
      </w:r>
    </w:p>
    <w:p>
      <w:pPr>
        <w:spacing w:line="480" w:lineRule="exact"/>
        <w:rPr>
          <w:rFonts w:hint="eastAsia" w:asciiTheme="minorEastAsia" w:hAnsiTheme="minorEastAsia" w:eastAsiaTheme="minorEastAsia" w:cstheme="minorEastAsia"/>
          <w:color w:val="auto"/>
          <w:szCs w:val="21"/>
        </w:rPr>
      </w:pPr>
    </w:p>
    <w:p>
      <w:pPr>
        <w:adjustRightInd w:val="0"/>
        <w:snapToGrid w:val="0"/>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p>
      <w:pPr>
        <w:adjustRightInd w:val="0"/>
        <w:snapToGrid w:val="0"/>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1、提供供应商主体资格证明文件复印件(法人提交营业执照副本或者法人登记证书)； </w:t>
      </w:r>
    </w:p>
    <w:p>
      <w:pPr>
        <w:adjustRightInd w:val="0"/>
        <w:snapToGrid w:val="0"/>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2、依法缴纳税收和社会保险费的证明资料：</w:t>
      </w:r>
    </w:p>
    <w:p>
      <w:pPr>
        <w:adjustRightInd w:val="0"/>
        <w:snapToGrid w:val="0"/>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adjustRightInd w:val="0"/>
        <w:snapToGrid w:val="0"/>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adjustRightInd w:val="0"/>
        <w:snapToGrid w:val="0"/>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4、提供第二章 磋商须知第3.1款供应商基本资格条件：法律、行政法规规定的其他条件 (如果有的话)证明资料的复印件。</w:t>
      </w:r>
    </w:p>
    <w:p>
      <w:pPr>
        <w:adjustRightInd w:val="0"/>
        <w:snapToGrid w:val="0"/>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实行由一个登记机关核发一个加载法人和其他组织统一社会信用代码的营业执照登记制度的：①实行营业执照、组织机构代码、税务登记“三证合一”登记模式的可不再提供《税务登记证》；②实行“一照一码”登记模式的可不再提供《税务登记证》、《社会保险登记证》。</w:t>
      </w:r>
    </w:p>
    <w:p>
      <w:pPr>
        <w:spacing w:line="480" w:lineRule="exact"/>
        <w:rPr>
          <w:rFonts w:hint="eastAsia" w:asciiTheme="minorEastAsia" w:hAnsiTheme="minorEastAsia" w:eastAsiaTheme="minorEastAsia" w:cstheme="minorEastAsia"/>
          <w:color w:val="auto"/>
          <w:sz w:val="30"/>
          <w:szCs w:val="30"/>
        </w:rPr>
      </w:pPr>
    </w:p>
    <w:p>
      <w:pPr>
        <w:spacing w:line="480" w:lineRule="exact"/>
        <w:rPr>
          <w:rFonts w:hint="eastAsia" w:asciiTheme="minorEastAsia" w:hAnsiTheme="minorEastAsia" w:eastAsiaTheme="minorEastAsia" w:cstheme="minorEastAsia"/>
          <w:color w:val="auto"/>
          <w:sz w:val="30"/>
          <w:szCs w:val="30"/>
        </w:rPr>
      </w:pPr>
    </w:p>
    <w:p>
      <w:pPr>
        <w:spacing w:line="480" w:lineRule="exact"/>
        <w:rPr>
          <w:rFonts w:hint="eastAsia" w:asciiTheme="minorEastAsia" w:hAnsiTheme="minorEastAsia" w:eastAsiaTheme="minorEastAsia" w:cstheme="minorEastAsia"/>
          <w:color w:val="auto"/>
          <w:sz w:val="30"/>
          <w:szCs w:val="30"/>
        </w:rPr>
      </w:pPr>
    </w:p>
    <w:p>
      <w:pPr>
        <w:spacing w:line="480" w:lineRule="exact"/>
        <w:rPr>
          <w:rFonts w:hint="eastAsia" w:asciiTheme="minorEastAsia" w:hAnsiTheme="minorEastAsia" w:eastAsiaTheme="minorEastAsia" w:cstheme="minorEastAsia"/>
          <w:color w:val="auto"/>
          <w:sz w:val="30"/>
          <w:szCs w:val="30"/>
        </w:rPr>
      </w:pPr>
    </w:p>
    <w:p>
      <w:pPr>
        <w:spacing w:line="480" w:lineRule="exact"/>
        <w:rPr>
          <w:rFonts w:hint="eastAsia" w:asciiTheme="minorEastAsia" w:hAnsiTheme="minorEastAsia" w:eastAsiaTheme="minorEastAsia" w:cstheme="minorEastAsia"/>
          <w:color w:val="auto"/>
          <w:sz w:val="30"/>
          <w:szCs w:val="30"/>
        </w:rPr>
      </w:pPr>
    </w:p>
    <w:p>
      <w:pPr>
        <w:widowControl/>
        <w:spacing w:line="24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spacing w:line="480" w:lineRule="exact"/>
        <w:jc w:val="left"/>
        <w:rPr>
          <w:rFonts w:hint="eastAsia" w:asciiTheme="minorEastAsia" w:hAnsiTheme="minorEastAsia" w:eastAsiaTheme="minorEastAsia" w:cstheme="minorEastAsia"/>
          <w:color w:val="auto"/>
          <w:sz w:val="24"/>
        </w:rPr>
      </w:pPr>
    </w:p>
    <w:p>
      <w:pPr>
        <w:spacing w:line="48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附件7</w:t>
      </w:r>
    </w:p>
    <w:p>
      <w:pPr>
        <w:spacing w:line="480" w:lineRule="exact"/>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磋商文件规定的特定资格条件证明资料</w:t>
      </w:r>
    </w:p>
    <w:p>
      <w:pPr>
        <w:spacing w:line="480" w:lineRule="exact"/>
        <w:rPr>
          <w:rFonts w:hint="eastAsia" w:asciiTheme="minorEastAsia" w:hAnsiTheme="minorEastAsia" w:eastAsiaTheme="minorEastAsia" w:cstheme="minorEastAsia"/>
          <w:color w:val="auto"/>
          <w:szCs w:val="21"/>
        </w:rPr>
      </w:pPr>
    </w:p>
    <w:p>
      <w:pPr>
        <w:spacing w:line="4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备注：提供第二章 磋商须知第3.1款供应商特定资格条件证明资料的复印件。</w:t>
      </w:r>
    </w:p>
    <w:p>
      <w:pPr>
        <w:pStyle w:val="4"/>
        <w:spacing w:line="400" w:lineRule="exact"/>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Cs w:val="21"/>
        </w:rPr>
        <w:br w:type="page"/>
      </w:r>
    </w:p>
    <w:p>
      <w:pPr>
        <w:ind w:firstLine="803"/>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四、报价一览表及报价文件</w:t>
      </w:r>
    </w:p>
    <w:p>
      <w:pPr>
        <w:adjustRightInd w:val="0"/>
        <w:snapToGrid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附件</w:t>
      </w:r>
      <w:r>
        <w:rPr>
          <w:rFonts w:hint="eastAsia" w:asciiTheme="minorEastAsia" w:hAnsiTheme="minorEastAsia" w:eastAsiaTheme="minorEastAsia" w:cstheme="minorEastAsia"/>
          <w:color w:val="auto"/>
          <w:sz w:val="28"/>
          <w:szCs w:val="28"/>
          <w:lang w:val="en-US" w:eastAsia="zh-CN"/>
        </w:rPr>
        <w:t>8</w:t>
      </w:r>
    </w:p>
    <w:p>
      <w:pPr>
        <w:spacing w:line="360" w:lineRule="exact"/>
        <w:ind w:firstLine="281" w:firstLineChars="100"/>
        <w:rPr>
          <w:rFonts w:hint="eastAsia" w:asciiTheme="minorEastAsia" w:hAnsiTheme="minorEastAsia" w:eastAsiaTheme="minorEastAsia" w:cstheme="minorEastAsia"/>
          <w:b/>
          <w:color w:val="auto"/>
          <w:sz w:val="28"/>
          <w:szCs w:val="28"/>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报价一览表（</w:t>
      </w:r>
      <w:r>
        <w:rPr>
          <w:rFonts w:hint="eastAsia" w:asciiTheme="minorEastAsia" w:hAnsiTheme="minorEastAsia" w:eastAsiaTheme="minorEastAsia" w:cstheme="minorEastAsia"/>
          <w:color w:val="auto"/>
          <w:sz w:val="28"/>
          <w:szCs w:val="28"/>
        </w:rPr>
        <w:t>工程类适用）</w:t>
      </w:r>
    </w:p>
    <w:p>
      <w:pPr>
        <w:adjustRightInd w:val="0"/>
        <w:snapToGrid w:val="0"/>
        <w:rPr>
          <w:rFonts w:hint="eastAsia" w:asciiTheme="minorEastAsia" w:hAnsiTheme="minorEastAsia" w:eastAsiaTheme="minorEastAsia" w:cstheme="minorEastAsia"/>
          <w:color w:val="auto"/>
          <w:sz w:val="24"/>
        </w:rPr>
      </w:pPr>
    </w:p>
    <w:tbl>
      <w:tblPr>
        <w:tblStyle w:val="64"/>
        <w:tblW w:w="878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10"/>
        <w:gridCol w:w="3106"/>
        <w:gridCol w:w="1578"/>
        <w:gridCol w:w="17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vMerge w:val="restart"/>
            <w:tcBorders>
              <w:top w:val="doub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tc>
        <w:tc>
          <w:tcPr>
            <w:tcW w:w="3106" w:type="dxa"/>
            <w:vMerge w:val="restart"/>
            <w:tcBorders>
              <w:top w:val="double" w:color="auto" w:sz="4"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Cs w:val="21"/>
              </w:rPr>
            </w:pPr>
          </w:p>
        </w:tc>
        <w:tc>
          <w:tcPr>
            <w:tcW w:w="1578" w:type="dxa"/>
            <w:tcBorders>
              <w:top w:val="double" w:color="auto" w:sz="4"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采购编号</w:t>
            </w:r>
          </w:p>
        </w:tc>
        <w:tc>
          <w:tcPr>
            <w:tcW w:w="1790" w:type="dxa"/>
            <w:tcBorders>
              <w:top w:val="double" w:color="auto" w:sz="4" w:space="0"/>
              <w:left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vMerge w:val="continue"/>
            <w:tcBorders>
              <w:top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Cs w:val="21"/>
              </w:rPr>
            </w:pPr>
          </w:p>
        </w:tc>
        <w:tc>
          <w:tcPr>
            <w:tcW w:w="3106"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Cs w:val="21"/>
              </w:rPr>
            </w:pPr>
          </w:p>
        </w:tc>
        <w:tc>
          <w:tcPr>
            <w:tcW w:w="157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采购代理编号</w:t>
            </w:r>
          </w:p>
        </w:tc>
        <w:tc>
          <w:tcPr>
            <w:tcW w:w="1790" w:type="dxa"/>
            <w:tcBorders>
              <w:top w:val="single" w:color="auto" w:sz="6" w:space="0"/>
              <w:left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工程总报价</w:t>
            </w:r>
          </w:p>
        </w:tc>
        <w:tc>
          <w:tcPr>
            <w:tcW w:w="6474" w:type="dxa"/>
            <w:gridSpan w:val="3"/>
            <w:tcBorders>
              <w:top w:val="single" w:color="auto" w:sz="6" w:space="0"/>
              <w:bottom w:val="single" w:color="auto" w:sz="6"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大写：</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元人民币整</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小写：</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元人民币整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工期（日历天）</w:t>
            </w:r>
          </w:p>
        </w:tc>
        <w:tc>
          <w:tcPr>
            <w:tcW w:w="6474" w:type="dxa"/>
            <w:gridSpan w:val="3"/>
            <w:tcBorders>
              <w:top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质量等级</w:t>
            </w:r>
          </w:p>
        </w:tc>
        <w:tc>
          <w:tcPr>
            <w:tcW w:w="6474" w:type="dxa"/>
            <w:gridSpan w:val="3"/>
            <w:tcBorders>
              <w:top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保修承诺</w:t>
            </w:r>
          </w:p>
        </w:tc>
        <w:tc>
          <w:tcPr>
            <w:tcW w:w="6474" w:type="dxa"/>
            <w:gridSpan w:val="3"/>
            <w:tcBorders>
              <w:top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项目负责人</w:t>
            </w:r>
          </w:p>
        </w:tc>
        <w:tc>
          <w:tcPr>
            <w:tcW w:w="6474" w:type="dxa"/>
            <w:gridSpan w:val="3"/>
            <w:tcBorders>
              <w:top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double" w:color="auto" w:sz="4" w:space="0"/>
            </w:tcBorders>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  注</w:t>
            </w:r>
          </w:p>
        </w:tc>
        <w:tc>
          <w:tcPr>
            <w:tcW w:w="6474" w:type="dxa"/>
            <w:gridSpan w:val="3"/>
            <w:tcBorders>
              <w:top w:val="single" w:color="auto" w:sz="6" w:space="0"/>
              <w:bottom w:val="double" w:color="auto" w:sz="4" w:space="0"/>
            </w:tcBorders>
            <w:vAlign w:val="center"/>
          </w:tcPr>
          <w:p>
            <w:pPr>
              <w:jc w:val="center"/>
              <w:rPr>
                <w:rFonts w:hint="eastAsia" w:asciiTheme="minorEastAsia" w:hAnsiTheme="minorEastAsia" w:eastAsiaTheme="minorEastAsia" w:cstheme="minorEastAsia"/>
                <w:color w:val="auto"/>
                <w:szCs w:val="21"/>
              </w:rPr>
            </w:pPr>
          </w:p>
        </w:tc>
      </w:tr>
    </w:tbl>
    <w:p>
      <w:pPr>
        <w:adjustRightInd w:val="0"/>
        <w:snapToGrid w:val="0"/>
        <w:spacing w:line="360" w:lineRule="auto"/>
        <w:rPr>
          <w:rFonts w:hint="eastAsia" w:asciiTheme="minorEastAsia" w:hAnsiTheme="minorEastAsia" w:eastAsiaTheme="minorEastAsia" w:cstheme="minorEastAsia"/>
          <w:color w:val="auto"/>
        </w:rPr>
      </w:pPr>
    </w:p>
    <w:p>
      <w:pPr>
        <w:adjustRightInd w:val="0"/>
        <w:snapToGrid w:val="0"/>
        <w:spacing w:line="360" w:lineRule="auto"/>
        <w:rPr>
          <w:rFonts w:hint="eastAsia" w:asciiTheme="minorEastAsia" w:hAnsiTheme="minorEastAsia" w:eastAsiaTheme="minorEastAsia" w:cstheme="minorEastAsia"/>
          <w:color w:val="auto"/>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供应商（盖单位章）：</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法定代表人或其委托代理人签字：</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adjustRightInd w:val="0"/>
        <w:snapToGrid w:val="0"/>
        <w:jc w:val="right"/>
        <w:rPr>
          <w:rFonts w:hint="eastAsia" w:asciiTheme="minorEastAsia" w:hAnsiTheme="minorEastAsia" w:eastAsiaTheme="minorEastAsia" w:cstheme="minorEastAsia"/>
          <w:color w:val="auto"/>
          <w:szCs w:val="21"/>
        </w:rPr>
      </w:pPr>
    </w:p>
    <w:p>
      <w:pPr>
        <w:spacing w:line="360" w:lineRule="exact"/>
        <w:ind w:firstLine="562" w:firstLineChars="200"/>
        <w:jc w:val="center"/>
        <w:rPr>
          <w:rFonts w:hint="eastAsia" w:asciiTheme="minorEastAsia" w:hAnsiTheme="minorEastAsia" w:eastAsiaTheme="minorEastAsia" w:cstheme="minorEastAsia"/>
          <w:b/>
          <w:color w:val="auto"/>
          <w:sz w:val="28"/>
          <w:szCs w:val="28"/>
        </w:rPr>
      </w:pPr>
    </w:p>
    <w:p>
      <w:pPr>
        <w:spacing w:line="360" w:lineRule="exact"/>
        <w:ind w:firstLine="211" w:firstLineChars="100"/>
        <w:rPr>
          <w:rFonts w:hint="eastAsia" w:asciiTheme="minorEastAsia" w:hAnsiTheme="minorEastAsia" w:eastAsiaTheme="minorEastAsia" w:cstheme="minorEastAsia"/>
          <w:b/>
          <w:color w:val="auto"/>
        </w:rPr>
      </w:pPr>
    </w:p>
    <w:p>
      <w:pPr>
        <w:spacing w:line="360" w:lineRule="exact"/>
        <w:ind w:firstLine="211" w:firstLineChars="100"/>
        <w:rPr>
          <w:rFonts w:hint="eastAsia" w:asciiTheme="minorEastAsia" w:hAnsiTheme="minorEastAsia" w:eastAsiaTheme="minorEastAsia" w:cstheme="minorEastAsia"/>
          <w:b/>
          <w:color w:val="auto"/>
        </w:rPr>
      </w:pPr>
    </w:p>
    <w:p>
      <w:pPr>
        <w:spacing w:line="360" w:lineRule="exact"/>
        <w:ind w:firstLine="211" w:firstLineChars="100"/>
        <w:rPr>
          <w:rFonts w:hint="eastAsia" w:asciiTheme="minorEastAsia" w:hAnsiTheme="minorEastAsia" w:eastAsiaTheme="minorEastAsia" w:cstheme="minorEastAsia"/>
          <w:b/>
          <w:color w:val="auto"/>
        </w:rPr>
      </w:pPr>
    </w:p>
    <w:p>
      <w:pPr>
        <w:spacing w:line="360" w:lineRule="exact"/>
        <w:ind w:firstLine="211" w:firstLineChars="100"/>
        <w:rPr>
          <w:rFonts w:hint="eastAsia" w:asciiTheme="minorEastAsia" w:hAnsiTheme="minorEastAsia" w:eastAsiaTheme="minorEastAsia" w:cstheme="minorEastAsia"/>
          <w:b/>
          <w:color w:val="auto"/>
        </w:rPr>
      </w:pPr>
    </w:p>
    <w:p>
      <w:pPr>
        <w:spacing w:line="360" w:lineRule="exact"/>
        <w:ind w:firstLine="211" w:firstLineChars="100"/>
        <w:rPr>
          <w:rFonts w:hint="eastAsia" w:asciiTheme="minorEastAsia" w:hAnsiTheme="minorEastAsia" w:eastAsiaTheme="minorEastAsia" w:cstheme="minorEastAsia"/>
          <w:b/>
          <w:color w:val="auto"/>
        </w:rPr>
      </w:pPr>
    </w:p>
    <w:p>
      <w:pPr>
        <w:spacing w:line="360" w:lineRule="exact"/>
        <w:ind w:firstLine="211" w:firstLineChars="100"/>
        <w:rPr>
          <w:rFonts w:hint="eastAsia" w:asciiTheme="minorEastAsia" w:hAnsiTheme="minorEastAsia" w:eastAsiaTheme="minorEastAsia" w:cstheme="minorEastAsia"/>
          <w:b/>
          <w:color w:val="auto"/>
        </w:rPr>
      </w:pPr>
    </w:p>
    <w:p>
      <w:pPr>
        <w:spacing w:line="360" w:lineRule="exact"/>
        <w:ind w:firstLine="211" w:firstLineChars="100"/>
        <w:rPr>
          <w:rFonts w:hint="eastAsia" w:asciiTheme="minorEastAsia" w:hAnsiTheme="minorEastAsia" w:eastAsiaTheme="minorEastAsia" w:cstheme="minorEastAsia"/>
          <w:b/>
          <w:color w:val="auto"/>
        </w:rPr>
      </w:pPr>
    </w:p>
    <w:p>
      <w:pPr>
        <w:spacing w:line="360" w:lineRule="exact"/>
        <w:rPr>
          <w:rFonts w:hint="eastAsia" w:asciiTheme="minorEastAsia" w:hAnsiTheme="minorEastAsia" w:eastAsiaTheme="minorEastAsia" w:cstheme="minorEastAsia"/>
          <w:b/>
          <w:color w:val="auto"/>
        </w:rPr>
      </w:pPr>
    </w:p>
    <w:p>
      <w:pPr>
        <w:pStyle w:val="5"/>
        <w:jc w:val="left"/>
        <w:rPr>
          <w:rFonts w:hint="eastAsia" w:asciiTheme="minorEastAsia" w:hAnsiTheme="minorEastAsia" w:eastAsiaTheme="minorEastAsia" w:cstheme="minorEastAsia"/>
          <w:b w:val="0"/>
          <w:color w:val="auto"/>
          <w:kern w:val="2"/>
          <w:sz w:val="28"/>
          <w:szCs w:val="28"/>
        </w:rPr>
      </w:pPr>
      <w:bookmarkStart w:id="23" w:name="_Toc16460"/>
      <w:r>
        <w:rPr>
          <w:rFonts w:hint="eastAsia" w:asciiTheme="minorEastAsia" w:hAnsiTheme="minorEastAsia" w:eastAsiaTheme="minorEastAsia" w:cstheme="minorEastAsia"/>
          <w:b w:val="0"/>
          <w:color w:val="auto"/>
          <w:kern w:val="2"/>
          <w:sz w:val="28"/>
          <w:szCs w:val="28"/>
        </w:rPr>
        <w:t>附件</w:t>
      </w:r>
      <w:r>
        <w:rPr>
          <w:rFonts w:hint="eastAsia" w:asciiTheme="minorEastAsia" w:hAnsiTheme="minorEastAsia" w:eastAsiaTheme="minorEastAsia" w:cstheme="minorEastAsia"/>
          <w:b w:val="0"/>
          <w:color w:val="auto"/>
          <w:kern w:val="2"/>
          <w:sz w:val="28"/>
          <w:szCs w:val="28"/>
          <w:lang w:val="en-US" w:eastAsia="zh-CN"/>
        </w:rPr>
        <w:t>9</w:t>
      </w:r>
      <w:bookmarkEnd w:id="23"/>
      <w:r>
        <w:rPr>
          <w:rFonts w:hint="eastAsia" w:asciiTheme="minorEastAsia" w:hAnsiTheme="minorEastAsia" w:eastAsiaTheme="minorEastAsia" w:cstheme="minorEastAsia"/>
          <w:b w:val="0"/>
          <w:color w:val="auto"/>
          <w:kern w:val="2"/>
          <w:sz w:val="28"/>
          <w:szCs w:val="28"/>
        </w:rPr>
        <w:t xml:space="preserve"> </w:t>
      </w:r>
    </w:p>
    <w:p>
      <w:pPr>
        <w:adjustRightInd w:val="0"/>
        <w:snapToGrid w:val="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28"/>
          <w:szCs w:val="28"/>
        </w:rPr>
        <w:t>分项价格表（已标价工程量清单内容）</w:t>
      </w:r>
    </w:p>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rPr>
        <w:t>按</w:t>
      </w:r>
      <w:r>
        <w:rPr>
          <w:rFonts w:hint="eastAsia" w:asciiTheme="minorEastAsia" w:hAnsiTheme="minorEastAsia" w:eastAsiaTheme="minorEastAsia" w:cstheme="minorEastAsia"/>
          <w:color w:val="auto"/>
          <w:sz w:val="24"/>
          <w:lang w:eastAsia="zh-CN"/>
        </w:rPr>
        <w:t>磋商</w:t>
      </w:r>
      <w:r>
        <w:rPr>
          <w:rFonts w:hint="eastAsia" w:asciiTheme="minorEastAsia" w:hAnsiTheme="minorEastAsia" w:eastAsiaTheme="minorEastAsia" w:cstheme="minorEastAsia"/>
          <w:color w:val="auto"/>
          <w:sz w:val="24"/>
        </w:rPr>
        <w:t>文件提供的清单报价。</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u w:val="single"/>
        </w:rPr>
        <w:t>湘建价[2014]113号</w:t>
      </w:r>
      <w:r>
        <w:rPr>
          <w:rFonts w:hint="eastAsia" w:asciiTheme="minorEastAsia" w:hAnsiTheme="minorEastAsia" w:eastAsiaTheme="minorEastAsia" w:cstheme="minorEastAsia"/>
          <w:color w:val="auto"/>
        </w:rPr>
        <w:t>文《湖南省建设工程计价办法》（以下简称“计价办法”）及其配套文件、</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rPr>
        <w:t>湘建价〔2016〕72号文《关于增值税条件下计费程序和计费标准的规定》、</w:t>
      </w:r>
      <w:r>
        <w:rPr>
          <w:rFonts w:hint="eastAsia" w:asciiTheme="minorEastAsia" w:hAnsiTheme="minorEastAsia" w:eastAsiaTheme="minorEastAsia" w:cstheme="minorEastAsia"/>
          <w:color w:val="auto"/>
          <w:szCs w:val="21"/>
        </w:rPr>
        <w:t>湘建价〔2018〕101号《湖南省住房和城乡建设厅关于调整建设工程销项税额税率和材料综合税率计费标准的通知》、湘建价[2016]160号文《关于调整补充增值税条件下建设工程计价依据的通知》、湘建价[2016]134号文《关于取消建筑行业劳保基金与增加社会保险费有关事项的通知》规定</w:t>
      </w:r>
      <w:r>
        <w:rPr>
          <w:rFonts w:hint="eastAsia" w:asciiTheme="minorEastAsia" w:hAnsiTheme="minorEastAsia" w:eastAsiaTheme="minorEastAsia" w:cstheme="minorEastAsia"/>
          <w:color w:val="auto"/>
        </w:rPr>
        <w:t>，投标报价文件需提供以下具体内容（一般计税法）：</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（1）A.3：投标总价封面；</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（2）B.3：投标总价扉页</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（3）附C：工程计价总说明</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（4）D.1：建设项目（或单项工程）工程造价汇总表（一般计税法）</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（5）D.3：单位工程费用计算表（一般计税法）</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（6） E.1：单位工程工程量清单与造价表（一般计税法）</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（7）E.3：清单项目直接费用预算表</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（8） E.4：清单项目人材机用量与单价表</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（9）</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kern w:val="0"/>
        </w:rPr>
        <w:t>E.5：清单项目费用计算表（综合单价表、一般计税法）</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（10） E.7：总价措施项目清单计费表</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（11）F.1：其他项目清单与计价汇总表（一般计税法）</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（12） F.3：暂列金额明细表</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（13） F.4：材料（工程设备）暂估单价及调整表</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（14） F.5：专业工程暂估价及结算价</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（15） F.6：计日工</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（16） F.7：总承包服务费计价表</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（17） K.3：规费表</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（18） J.2：人工、主要材料（工程设备）、机械用量汇总与单价表</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0" w:firstLineChars="200"/>
        <w:jc w:val="left"/>
        <w:textAlignment w:val="auto"/>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w:t>
      </w:r>
    </w:p>
    <w:p>
      <w:pPr>
        <w:keepNext w:val="0"/>
        <w:keepLines w:val="0"/>
        <w:pageBreakBefore w:val="0"/>
        <w:widowControl w:val="0"/>
        <w:kinsoku/>
        <w:wordWrap/>
        <w:overflowPunct/>
        <w:topLinePunct w:val="0"/>
        <w:autoSpaceDE w:val="0"/>
        <w:autoSpaceDN w:val="0"/>
        <w:bidi w:val="0"/>
        <w:adjustRightInd w:val="0"/>
        <w:snapToGrid/>
        <w:spacing w:before="64" w:line="360" w:lineRule="exact"/>
        <w:ind w:right="-23" w:firstLine="422" w:firstLineChars="200"/>
        <w:jc w:val="lef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rPr>
        <w:t>注：投标文件中提供的主材必须填写品牌及型号。</w:t>
      </w:r>
      <w:r>
        <w:rPr>
          <w:rFonts w:hint="eastAsia" w:asciiTheme="minorEastAsia" w:hAnsiTheme="minorEastAsia" w:eastAsiaTheme="minorEastAsia" w:cstheme="minorEastAsia"/>
          <w:b/>
          <w:color w:val="auto"/>
          <w:szCs w:val="21"/>
        </w:rPr>
        <w:br w:type="page"/>
      </w:r>
    </w:p>
    <w:p>
      <w:pPr>
        <w:spacing w:line="480" w:lineRule="exact"/>
        <w:jc w:val="left"/>
        <w:rPr>
          <w:rFonts w:hint="eastAsia" w:asciiTheme="minorEastAsia" w:hAnsiTheme="minorEastAsia" w:eastAsiaTheme="minorEastAsia" w:cstheme="minorEastAsia"/>
          <w:color w:val="auto"/>
          <w:sz w:val="24"/>
        </w:rPr>
      </w:pPr>
    </w:p>
    <w:p>
      <w:pPr>
        <w:adjustRightInd w:val="0"/>
        <w:snapToGrid w:val="0"/>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五、技术/商务响应与偏离表</w:t>
      </w:r>
    </w:p>
    <w:tbl>
      <w:tblPr>
        <w:tblStyle w:val="64"/>
        <w:tblW w:w="950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4" w:hRule="atLeast"/>
          <w:jc w:val="center"/>
        </w:trPr>
        <w:tc>
          <w:tcPr>
            <w:tcW w:w="634" w:type="dxa"/>
            <w:tcBorders>
              <w:top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序号</w:t>
            </w:r>
          </w:p>
        </w:tc>
        <w:tc>
          <w:tcPr>
            <w:tcW w:w="1685" w:type="dxa"/>
            <w:tcBorders>
              <w:top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磋商文件条目号</w:t>
            </w:r>
          </w:p>
        </w:tc>
        <w:tc>
          <w:tcPr>
            <w:tcW w:w="1948" w:type="dxa"/>
            <w:tcBorders>
              <w:top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采购规格/商务条款</w:t>
            </w:r>
          </w:p>
        </w:tc>
        <w:tc>
          <w:tcPr>
            <w:tcW w:w="2600" w:type="dxa"/>
            <w:tcBorders>
              <w:top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响应文件的规格/商务条款</w:t>
            </w:r>
          </w:p>
        </w:tc>
        <w:tc>
          <w:tcPr>
            <w:tcW w:w="1517" w:type="dxa"/>
            <w:tcBorders>
              <w:top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响应与偏离</w:t>
            </w:r>
          </w:p>
        </w:tc>
        <w:tc>
          <w:tcPr>
            <w:tcW w:w="1119" w:type="dxa"/>
            <w:tcBorders>
              <w:top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685"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948"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2600"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517"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119"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685"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948"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2600"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517"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119"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685"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948"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2600"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517"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119"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685"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948"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2600"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517"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119" w:type="dxa"/>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5" w:hRule="atLeast"/>
          <w:jc w:val="center"/>
        </w:trPr>
        <w:tc>
          <w:tcPr>
            <w:tcW w:w="634" w:type="dxa"/>
            <w:tcBorders>
              <w:bottom w:val="double" w:color="auto" w:sz="4" w:space="0"/>
            </w:tcBorders>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685" w:type="dxa"/>
            <w:tcBorders>
              <w:bottom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948" w:type="dxa"/>
            <w:tcBorders>
              <w:bottom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2600" w:type="dxa"/>
            <w:tcBorders>
              <w:bottom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517" w:type="dxa"/>
            <w:tcBorders>
              <w:bottom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c>
          <w:tcPr>
            <w:tcW w:w="1119" w:type="dxa"/>
            <w:tcBorders>
              <w:bottom w:val="double" w:color="auto" w:sz="4" w:space="0"/>
            </w:tcBorders>
            <w:vAlign w:val="center"/>
          </w:tcPr>
          <w:p>
            <w:pPr>
              <w:adjustRightInd w:val="0"/>
              <w:snapToGrid w:val="0"/>
              <w:ind w:left="-88" w:leftChars="-42"/>
              <w:jc w:val="center"/>
              <w:rPr>
                <w:rFonts w:hint="eastAsia" w:asciiTheme="minorEastAsia" w:hAnsiTheme="minorEastAsia" w:eastAsiaTheme="minorEastAsia" w:cstheme="minorEastAsia"/>
                <w:color w:val="auto"/>
                <w:szCs w:val="21"/>
              </w:rPr>
            </w:pPr>
          </w:p>
        </w:tc>
      </w:tr>
    </w:tbl>
    <w:p>
      <w:pPr>
        <w:adjustRightInd w:val="0"/>
        <w:snapToGrid w:val="0"/>
        <w:ind w:left="-88" w:leftChars="-4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说明：1、“响应与偏离”应注明“响应”或“偏离”。</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 xml:space="preserve">     </w:t>
      </w:r>
      <w:r>
        <w:rPr>
          <w:rFonts w:hint="eastAsia" w:asciiTheme="minorEastAsia" w:hAnsiTheme="minorEastAsia" w:eastAsiaTheme="minorEastAsia" w:cstheme="minorEastAsia"/>
          <w:color w:val="auto"/>
          <w:szCs w:val="21"/>
        </w:rPr>
        <w:t>2、属磋商文件规定可能变动的内容在“说明”栏中注明。</w:t>
      </w:r>
    </w:p>
    <w:p>
      <w:pPr>
        <w:pStyle w:val="31"/>
        <w:adjustRightInd w:val="0"/>
        <w:snapToGrid w:val="0"/>
        <w:outlineLvl w:val="0"/>
        <w:rPr>
          <w:rFonts w:hint="eastAsia" w:asciiTheme="minorEastAsia" w:hAnsiTheme="minorEastAsia" w:eastAsiaTheme="minorEastAsia" w:cstheme="minorEastAsia"/>
          <w:color w:val="auto"/>
          <w:sz w:val="21"/>
          <w:szCs w:val="21"/>
        </w:rPr>
      </w:pPr>
    </w:p>
    <w:p>
      <w:pPr>
        <w:pStyle w:val="31"/>
        <w:adjustRightInd w:val="0"/>
        <w:snapToGrid w:val="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供应商名称：</w:t>
      </w:r>
      <w:r>
        <w:rPr>
          <w:rFonts w:hint="eastAsia" w:asciiTheme="minorEastAsia" w:hAnsiTheme="minorEastAsia" w:eastAsiaTheme="minorEastAsia" w:cstheme="minorEastAsia"/>
          <w:color w:val="auto"/>
          <w:sz w:val="21"/>
          <w:szCs w:val="21"/>
          <w:u w:val="single"/>
        </w:rPr>
        <w:t xml:space="preserve">                   </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法定代表人或其委托代理人(签字)：</w:t>
      </w:r>
      <w:r>
        <w:rPr>
          <w:rFonts w:hint="eastAsia" w:asciiTheme="minorEastAsia" w:hAnsiTheme="minorEastAsia" w:eastAsiaTheme="minorEastAsia" w:cstheme="minorEastAsia"/>
          <w:color w:val="auto"/>
          <w:szCs w:val="21"/>
          <w:u w:val="single"/>
        </w:rPr>
        <w:t xml:space="preserve">                   </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日          期：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年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月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日</w:t>
      </w:r>
    </w:p>
    <w:p>
      <w:pPr>
        <w:adjustRightInd w:val="0"/>
        <w:snapToGrid w:val="0"/>
        <w:rPr>
          <w:rFonts w:hint="eastAsia" w:asciiTheme="minorEastAsia" w:hAnsiTheme="minorEastAsia" w:eastAsiaTheme="minorEastAsia" w:cstheme="minorEastAsia"/>
          <w:color w:val="auto"/>
          <w:szCs w:val="21"/>
        </w:rPr>
      </w:pPr>
    </w:p>
    <w:p>
      <w:pPr>
        <w:tabs>
          <w:tab w:val="left" w:pos="3600"/>
        </w:tabs>
        <w:adjustRightInd w:val="0"/>
        <w:snapToGrid w:val="0"/>
        <w:jc w:val="center"/>
        <w:rPr>
          <w:rFonts w:hint="eastAsia" w:asciiTheme="minorEastAsia" w:hAnsiTheme="minorEastAsia" w:eastAsiaTheme="minorEastAsia" w:cstheme="minorEastAsia"/>
          <w:color w:val="auto"/>
        </w:rPr>
      </w:pPr>
    </w:p>
    <w:p>
      <w:pPr>
        <w:tabs>
          <w:tab w:val="left" w:pos="3600"/>
        </w:tabs>
        <w:adjustRightInd w:val="0"/>
        <w:snapToGrid w:val="0"/>
        <w:jc w:val="center"/>
        <w:rPr>
          <w:rFonts w:hint="eastAsia" w:asciiTheme="minorEastAsia" w:hAnsiTheme="minorEastAsia" w:eastAsiaTheme="minorEastAsia" w:cstheme="minorEastAsia"/>
          <w:color w:val="auto"/>
        </w:rPr>
      </w:pPr>
    </w:p>
    <w:p>
      <w:pPr>
        <w:tabs>
          <w:tab w:val="left" w:pos="3600"/>
        </w:tabs>
        <w:adjustRightInd w:val="0"/>
        <w:snapToGrid w:val="0"/>
        <w:jc w:val="center"/>
        <w:rPr>
          <w:rFonts w:hint="eastAsia" w:asciiTheme="minorEastAsia" w:hAnsiTheme="minorEastAsia" w:eastAsiaTheme="minorEastAsia" w:cstheme="minorEastAsia"/>
          <w:b/>
          <w:color w:val="auto"/>
          <w:sz w:val="32"/>
          <w:szCs w:val="32"/>
        </w:rPr>
      </w:pPr>
    </w:p>
    <w:p>
      <w:pPr>
        <w:tabs>
          <w:tab w:val="left" w:pos="3600"/>
        </w:tabs>
        <w:adjustRightInd w:val="0"/>
        <w:snapToGrid w:val="0"/>
        <w:jc w:val="center"/>
        <w:rPr>
          <w:rFonts w:hint="eastAsia" w:asciiTheme="minorEastAsia" w:hAnsiTheme="minorEastAsia" w:eastAsiaTheme="minorEastAsia" w:cstheme="minorEastAsia"/>
          <w:b/>
          <w:color w:val="auto"/>
          <w:sz w:val="32"/>
          <w:szCs w:val="32"/>
        </w:rPr>
      </w:pPr>
    </w:p>
    <w:p>
      <w:pPr>
        <w:tabs>
          <w:tab w:val="left" w:pos="3600"/>
        </w:tabs>
        <w:adjustRightInd w:val="0"/>
        <w:snapToGrid w:val="0"/>
        <w:jc w:val="center"/>
        <w:rPr>
          <w:rFonts w:hint="eastAsia" w:asciiTheme="minorEastAsia" w:hAnsiTheme="minorEastAsia" w:eastAsiaTheme="minorEastAsia" w:cstheme="minorEastAsia"/>
          <w:b/>
          <w:color w:val="auto"/>
          <w:sz w:val="32"/>
          <w:szCs w:val="32"/>
        </w:rPr>
      </w:pPr>
    </w:p>
    <w:p>
      <w:pPr>
        <w:adjustRightInd w:val="0"/>
        <w:snapToGrid w:val="0"/>
        <w:jc w:val="center"/>
        <w:outlineLvl w:val="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adjustRightInd w:val="0"/>
        <w:snapToGrid w:val="0"/>
        <w:jc w:val="center"/>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rPr>
        <w:t>六、</w:t>
      </w:r>
      <w:r>
        <w:rPr>
          <w:rFonts w:hint="eastAsia" w:asciiTheme="minorEastAsia" w:hAnsiTheme="minorEastAsia" w:eastAsiaTheme="minorEastAsia" w:cstheme="minorEastAsia"/>
          <w:b/>
          <w:color w:val="auto"/>
          <w:sz w:val="32"/>
          <w:szCs w:val="32"/>
          <w:lang w:eastAsia="zh-CN"/>
        </w:rPr>
        <w:t>施工组织</w:t>
      </w:r>
    </w:p>
    <w:p>
      <w:pPr>
        <w:spacing w:line="360" w:lineRule="atLeas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施工组织设计应包括但不限于：</w:t>
      </w:r>
    </w:p>
    <w:p>
      <w:pPr>
        <w:spacing w:line="360" w:lineRule="atLeas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(1)施工方案；</w:t>
      </w:r>
    </w:p>
    <w:p>
      <w:pPr>
        <w:spacing w:line="360" w:lineRule="atLeas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(2)施工进度计划及保证措施；</w:t>
      </w:r>
    </w:p>
    <w:p>
      <w:pPr>
        <w:spacing w:line="360" w:lineRule="atLeas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(3)保证质量措施；</w:t>
      </w:r>
    </w:p>
    <w:p>
      <w:pPr>
        <w:spacing w:line="360" w:lineRule="atLeas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(4)保证安全措施；</w:t>
      </w:r>
    </w:p>
    <w:p>
      <w:pPr>
        <w:spacing w:line="360" w:lineRule="atLeas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(5)文明施工现场措施；</w:t>
      </w:r>
    </w:p>
    <w:p>
      <w:pPr>
        <w:spacing w:line="360" w:lineRule="atLeas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(6)劳动力安排计划；</w:t>
      </w:r>
    </w:p>
    <w:p>
      <w:pPr>
        <w:spacing w:line="360" w:lineRule="atLeas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(7)主要机具使用计划；</w:t>
      </w:r>
    </w:p>
    <w:p>
      <w:pPr>
        <w:spacing w:line="360" w:lineRule="atLeast"/>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(8)合理化建议。</w:t>
      </w:r>
    </w:p>
    <w:p>
      <w:pPr>
        <w:adjustRightInd w:val="0"/>
        <w:snapToGrid w:val="0"/>
        <w:rPr>
          <w:rFonts w:hint="eastAsia" w:asciiTheme="minorEastAsia" w:hAnsiTheme="minorEastAsia" w:eastAsiaTheme="minorEastAsia" w:cstheme="minorEastAsia"/>
          <w:color w:val="auto"/>
          <w:sz w:val="28"/>
          <w:szCs w:val="28"/>
        </w:rPr>
      </w:pP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8"/>
          <w:szCs w:val="28"/>
        </w:rPr>
        <w:t>附件</w:t>
      </w:r>
      <w:r>
        <w:rPr>
          <w:rFonts w:hint="eastAsia" w:asciiTheme="minorEastAsia" w:hAnsiTheme="minorEastAsia" w:eastAsiaTheme="minorEastAsia" w:cstheme="minorEastAsia"/>
          <w:color w:val="auto"/>
          <w:sz w:val="28"/>
          <w:szCs w:val="28"/>
          <w:lang w:val="en-US" w:eastAsia="zh-CN"/>
        </w:rPr>
        <w:t>10</w:t>
      </w:r>
    </w:p>
    <w:p>
      <w:pPr>
        <w:spacing w:line="360" w:lineRule="atLeas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主要人员简历表</w:t>
      </w:r>
    </w:p>
    <w:tbl>
      <w:tblPr>
        <w:tblStyle w:val="64"/>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91" w:hRule="exact"/>
        </w:trPr>
        <w:tc>
          <w:tcPr>
            <w:tcW w:w="2032" w:type="dxa"/>
            <w:gridSpan w:val="2"/>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   名</w:t>
            </w:r>
          </w:p>
        </w:tc>
        <w:tc>
          <w:tcPr>
            <w:tcW w:w="2468" w:type="dxa"/>
            <w:vAlign w:val="center"/>
          </w:tcPr>
          <w:p>
            <w:pPr>
              <w:spacing w:line="360" w:lineRule="atLeast"/>
              <w:jc w:val="center"/>
              <w:rPr>
                <w:rFonts w:hint="eastAsia" w:asciiTheme="minorEastAsia" w:hAnsiTheme="minorEastAsia" w:eastAsiaTheme="minorEastAsia" w:cstheme="minorEastAsia"/>
                <w:color w:val="auto"/>
              </w:rPr>
            </w:pPr>
          </w:p>
        </w:tc>
        <w:tc>
          <w:tcPr>
            <w:tcW w:w="2340" w:type="dxa"/>
            <w:gridSpan w:val="3"/>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性  别</w:t>
            </w:r>
          </w:p>
        </w:tc>
        <w:tc>
          <w:tcPr>
            <w:tcW w:w="1663" w:type="dxa"/>
            <w:vAlign w:val="center"/>
          </w:tcPr>
          <w:p>
            <w:pPr>
              <w:spacing w:line="360" w:lineRule="atLeast"/>
              <w:jc w:val="center"/>
              <w:rPr>
                <w:rFonts w:hint="eastAsia"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exact"/>
        </w:trPr>
        <w:tc>
          <w:tcPr>
            <w:tcW w:w="2032" w:type="dxa"/>
            <w:gridSpan w:val="2"/>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   务</w:t>
            </w:r>
          </w:p>
        </w:tc>
        <w:tc>
          <w:tcPr>
            <w:tcW w:w="2468" w:type="dxa"/>
            <w:vAlign w:val="center"/>
          </w:tcPr>
          <w:p>
            <w:pPr>
              <w:spacing w:line="360" w:lineRule="atLeast"/>
              <w:jc w:val="center"/>
              <w:rPr>
                <w:rFonts w:hint="eastAsia" w:asciiTheme="minorEastAsia" w:hAnsiTheme="minorEastAsia" w:eastAsiaTheme="minorEastAsia" w:cstheme="minorEastAsia"/>
                <w:color w:val="auto"/>
              </w:rPr>
            </w:pPr>
          </w:p>
        </w:tc>
        <w:tc>
          <w:tcPr>
            <w:tcW w:w="2340" w:type="dxa"/>
            <w:gridSpan w:val="3"/>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职  称</w:t>
            </w:r>
          </w:p>
        </w:tc>
        <w:tc>
          <w:tcPr>
            <w:tcW w:w="1663" w:type="dxa"/>
            <w:vAlign w:val="center"/>
          </w:tcPr>
          <w:p>
            <w:pPr>
              <w:spacing w:line="360" w:lineRule="atLeast"/>
              <w:jc w:val="center"/>
              <w:rPr>
                <w:rFonts w:hint="eastAsia"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21" w:hRule="exact"/>
        </w:trPr>
        <w:tc>
          <w:tcPr>
            <w:tcW w:w="2032" w:type="dxa"/>
            <w:gridSpan w:val="2"/>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毕业学校、专业</w:t>
            </w:r>
          </w:p>
        </w:tc>
        <w:tc>
          <w:tcPr>
            <w:tcW w:w="6471" w:type="dxa"/>
            <w:gridSpan w:val="5"/>
            <w:vAlign w:val="center"/>
          </w:tcPr>
          <w:p>
            <w:pPr>
              <w:spacing w:line="360" w:lineRule="atLeast"/>
              <w:jc w:val="center"/>
              <w:rPr>
                <w:rFonts w:hint="eastAsia"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w:t>
            </w:r>
          </w:p>
        </w:tc>
        <w:tc>
          <w:tcPr>
            <w:tcW w:w="2468" w:type="dxa"/>
            <w:vAlign w:val="center"/>
          </w:tcPr>
          <w:p>
            <w:pPr>
              <w:spacing w:line="360" w:lineRule="atLeast"/>
              <w:jc w:val="center"/>
              <w:rPr>
                <w:rFonts w:hint="eastAsia" w:asciiTheme="minorEastAsia" w:hAnsiTheme="minorEastAsia" w:eastAsiaTheme="minorEastAsia" w:cstheme="minorEastAsia"/>
                <w:color w:val="auto"/>
              </w:rPr>
            </w:pPr>
          </w:p>
        </w:tc>
        <w:tc>
          <w:tcPr>
            <w:tcW w:w="2340" w:type="dxa"/>
            <w:gridSpan w:val="3"/>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拟在本合同任职</w:t>
            </w:r>
          </w:p>
        </w:tc>
        <w:tc>
          <w:tcPr>
            <w:tcW w:w="1663" w:type="dxa"/>
            <w:vAlign w:val="center"/>
          </w:tcPr>
          <w:p>
            <w:pPr>
              <w:spacing w:line="360" w:lineRule="atLeast"/>
              <w:ind w:right="-105" w:rightChars="-50"/>
              <w:jc w:val="center"/>
              <w:rPr>
                <w:rFonts w:hint="eastAsia"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71" w:hRule="exact"/>
        </w:trPr>
        <w:tc>
          <w:tcPr>
            <w:tcW w:w="2032" w:type="dxa"/>
            <w:gridSpan w:val="2"/>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执业资格证</w:t>
            </w:r>
          </w:p>
        </w:tc>
        <w:tc>
          <w:tcPr>
            <w:tcW w:w="2468" w:type="dxa"/>
            <w:vAlign w:val="center"/>
          </w:tcPr>
          <w:p>
            <w:pPr>
              <w:spacing w:line="360" w:lineRule="atLeast"/>
              <w:jc w:val="center"/>
              <w:rPr>
                <w:rFonts w:hint="eastAsia" w:asciiTheme="minorEastAsia" w:hAnsiTheme="minorEastAsia" w:eastAsiaTheme="minorEastAsia" w:cstheme="minorEastAsia"/>
                <w:color w:val="auto"/>
              </w:rPr>
            </w:pPr>
          </w:p>
        </w:tc>
        <w:tc>
          <w:tcPr>
            <w:tcW w:w="2340" w:type="dxa"/>
            <w:gridSpan w:val="3"/>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执业资格证书号</w:t>
            </w:r>
          </w:p>
        </w:tc>
        <w:tc>
          <w:tcPr>
            <w:tcW w:w="1663" w:type="dxa"/>
            <w:vAlign w:val="center"/>
          </w:tcPr>
          <w:p>
            <w:pPr>
              <w:rPr>
                <w:rFonts w:hint="eastAsia"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exact"/>
        </w:trPr>
        <w:tc>
          <w:tcPr>
            <w:tcW w:w="8503" w:type="dxa"/>
            <w:gridSpan w:val="7"/>
            <w:vAlign w:val="center"/>
          </w:tcPr>
          <w:p>
            <w:pPr>
              <w:spacing w:line="360" w:lineRule="atLeas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时间</w:t>
            </w:r>
          </w:p>
        </w:tc>
        <w:tc>
          <w:tcPr>
            <w:tcW w:w="3636" w:type="dxa"/>
            <w:gridSpan w:val="3"/>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类似项目名称</w:t>
            </w:r>
          </w:p>
        </w:tc>
        <w:tc>
          <w:tcPr>
            <w:tcW w:w="1404" w:type="dxa"/>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担任职务</w:t>
            </w:r>
          </w:p>
        </w:tc>
        <w:tc>
          <w:tcPr>
            <w:tcW w:w="2203" w:type="dxa"/>
            <w:gridSpan w:val="2"/>
            <w:vAlign w:val="center"/>
          </w:tcPr>
          <w:p>
            <w:pPr>
              <w:spacing w:line="360" w:lineRule="atLeas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hint="eastAsia" w:asciiTheme="minorEastAsia" w:hAnsiTheme="minorEastAsia" w:eastAsiaTheme="minorEastAsia" w:cstheme="minorEastAsia"/>
                <w:color w:val="auto"/>
              </w:rPr>
            </w:pPr>
          </w:p>
        </w:tc>
        <w:tc>
          <w:tcPr>
            <w:tcW w:w="3636" w:type="dxa"/>
            <w:gridSpan w:val="3"/>
            <w:vAlign w:val="center"/>
          </w:tcPr>
          <w:p>
            <w:pPr>
              <w:spacing w:line="360" w:lineRule="atLeast"/>
              <w:jc w:val="center"/>
              <w:rPr>
                <w:rFonts w:hint="eastAsia" w:asciiTheme="minorEastAsia" w:hAnsiTheme="minorEastAsia" w:eastAsiaTheme="minorEastAsia" w:cstheme="minorEastAsia"/>
                <w:color w:val="auto"/>
              </w:rPr>
            </w:pPr>
          </w:p>
        </w:tc>
        <w:tc>
          <w:tcPr>
            <w:tcW w:w="1404" w:type="dxa"/>
            <w:vAlign w:val="center"/>
          </w:tcPr>
          <w:p>
            <w:pPr>
              <w:spacing w:line="360" w:lineRule="atLeast"/>
              <w:jc w:val="center"/>
              <w:rPr>
                <w:rFonts w:hint="eastAsia" w:asciiTheme="minorEastAsia" w:hAnsiTheme="minorEastAsia" w:eastAsiaTheme="minorEastAsia" w:cstheme="minorEastAsia"/>
                <w:color w:val="auto"/>
              </w:rPr>
            </w:pPr>
          </w:p>
        </w:tc>
        <w:tc>
          <w:tcPr>
            <w:tcW w:w="2203" w:type="dxa"/>
            <w:gridSpan w:val="2"/>
            <w:vAlign w:val="center"/>
          </w:tcPr>
          <w:p>
            <w:pPr>
              <w:spacing w:line="360" w:lineRule="atLeast"/>
              <w:jc w:val="center"/>
              <w:rPr>
                <w:rFonts w:hint="eastAsia" w:asciiTheme="minorEastAsia" w:hAnsiTheme="minorEastAsia" w:eastAsiaTheme="minorEastAsia" w:cstheme="minorEastAsia"/>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exact"/>
        </w:trPr>
        <w:tc>
          <w:tcPr>
            <w:tcW w:w="1260" w:type="dxa"/>
            <w:vAlign w:val="center"/>
          </w:tcPr>
          <w:p>
            <w:pPr>
              <w:spacing w:line="360" w:lineRule="atLeast"/>
              <w:jc w:val="center"/>
              <w:rPr>
                <w:rFonts w:hint="eastAsia" w:asciiTheme="minorEastAsia" w:hAnsiTheme="minorEastAsia" w:eastAsiaTheme="minorEastAsia" w:cstheme="minorEastAsia"/>
                <w:color w:val="auto"/>
              </w:rPr>
            </w:pPr>
          </w:p>
        </w:tc>
        <w:tc>
          <w:tcPr>
            <w:tcW w:w="3636" w:type="dxa"/>
            <w:gridSpan w:val="3"/>
            <w:vAlign w:val="center"/>
          </w:tcPr>
          <w:p>
            <w:pPr>
              <w:spacing w:line="360" w:lineRule="atLeast"/>
              <w:jc w:val="center"/>
              <w:rPr>
                <w:rFonts w:hint="eastAsia" w:asciiTheme="minorEastAsia" w:hAnsiTheme="minorEastAsia" w:eastAsiaTheme="minorEastAsia" w:cstheme="minorEastAsia"/>
                <w:color w:val="auto"/>
              </w:rPr>
            </w:pPr>
          </w:p>
        </w:tc>
        <w:tc>
          <w:tcPr>
            <w:tcW w:w="1404" w:type="dxa"/>
            <w:vAlign w:val="center"/>
          </w:tcPr>
          <w:p>
            <w:pPr>
              <w:spacing w:line="360" w:lineRule="atLeast"/>
              <w:jc w:val="center"/>
              <w:rPr>
                <w:rFonts w:hint="eastAsia" w:asciiTheme="minorEastAsia" w:hAnsiTheme="minorEastAsia" w:eastAsiaTheme="minorEastAsia" w:cstheme="minorEastAsia"/>
                <w:color w:val="auto"/>
              </w:rPr>
            </w:pPr>
          </w:p>
        </w:tc>
        <w:tc>
          <w:tcPr>
            <w:tcW w:w="2203" w:type="dxa"/>
            <w:gridSpan w:val="2"/>
            <w:vAlign w:val="center"/>
          </w:tcPr>
          <w:p>
            <w:pPr>
              <w:spacing w:line="360" w:lineRule="atLeast"/>
              <w:jc w:val="center"/>
              <w:rPr>
                <w:rFonts w:hint="eastAsia" w:asciiTheme="minorEastAsia" w:hAnsiTheme="minorEastAsia" w:eastAsiaTheme="minorEastAsia" w:cstheme="minorEastAsia"/>
                <w:color w:val="auto"/>
              </w:rPr>
            </w:pPr>
          </w:p>
        </w:tc>
      </w:tr>
    </w:tbl>
    <w:p>
      <w:pPr>
        <w:spacing w:line="360" w:lineRule="atLeas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Cs w:val="21"/>
        </w:rPr>
        <w:t>主要人员证书、</w:t>
      </w:r>
      <w:r>
        <w:rPr>
          <w:rFonts w:hint="eastAsia" w:asciiTheme="minorEastAsia" w:hAnsiTheme="minorEastAsia" w:eastAsiaTheme="minorEastAsia" w:cstheme="minorEastAsia"/>
          <w:color w:val="auto"/>
        </w:rPr>
        <w:t>类似项目证明资料等按第二章第41.1款或第四章要求提供。</w:t>
      </w:r>
    </w:p>
    <w:p>
      <w:pPr>
        <w:rPr>
          <w:rFonts w:hint="eastAsia" w:asciiTheme="minorEastAsia" w:hAnsiTheme="minorEastAsia" w:eastAsiaTheme="minorEastAsia" w:cstheme="minorEastAsia"/>
          <w:color w:val="auto"/>
          <w:szCs w:val="21"/>
        </w:rPr>
      </w:pPr>
    </w:p>
    <w:p>
      <w:pPr>
        <w:pStyle w:val="31"/>
        <w:adjustRightInd w:val="0"/>
        <w:snapToGrid w:val="0"/>
        <w:spacing w:line="360" w:lineRule="auto"/>
        <w:outlineLvl w:val="0"/>
        <w:rPr>
          <w:rFonts w:hint="eastAsia" w:asciiTheme="minorEastAsia" w:hAnsiTheme="minorEastAsia" w:eastAsiaTheme="minorEastAsia" w:cstheme="minorEastAsia"/>
          <w:bCs/>
          <w:color w:val="auto"/>
          <w:sz w:val="21"/>
          <w:szCs w:val="21"/>
        </w:rPr>
      </w:pPr>
      <w:bookmarkStart w:id="24" w:name="_Toc6894"/>
      <w:r>
        <w:rPr>
          <w:rFonts w:hint="eastAsia" w:asciiTheme="minorEastAsia" w:hAnsiTheme="minorEastAsia" w:eastAsiaTheme="minorEastAsia" w:cstheme="minorEastAsia"/>
          <w:color w:val="auto"/>
          <w:sz w:val="21"/>
          <w:szCs w:val="21"/>
        </w:rPr>
        <w:t>供应商名称：</w:t>
      </w:r>
      <w:bookmarkEnd w:id="24"/>
      <w:r>
        <w:rPr>
          <w:rFonts w:hint="eastAsia" w:asciiTheme="minorEastAsia" w:hAnsiTheme="minorEastAsia" w:eastAsiaTheme="minorEastAsia" w:cstheme="minorEastAsia"/>
          <w:color w:val="auto"/>
          <w:sz w:val="21"/>
          <w:szCs w:val="21"/>
          <w:u w:val="single"/>
        </w:rPr>
        <w:t xml:space="preserve">                </w:t>
      </w:r>
    </w:p>
    <w:p>
      <w:pPr>
        <w:adjustRightInd w:val="0"/>
        <w:snapToGrid w:val="0"/>
        <w:spacing w:line="360" w:lineRule="auto"/>
        <w:outlineLvl w:val="0"/>
        <w:rPr>
          <w:rFonts w:hint="eastAsia" w:asciiTheme="minorEastAsia" w:hAnsiTheme="minorEastAsia" w:eastAsiaTheme="minorEastAsia" w:cstheme="minorEastAsia"/>
          <w:color w:val="auto"/>
          <w:szCs w:val="21"/>
        </w:rPr>
      </w:pPr>
      <w:bookmarkStart w:id="25" w:name="_Toc5974"/>
      <w:r>
        <w:rPr>
          <w:rFonts w:hint="eastAsia" w:asciiTheme="minorEastAsia" w:hAnsiTheme="minorEastAsia" w:eastAsiaTheme="minorEastAsia" w:cstheme="minorEastAsia"/>
          <w:color w:val="auto"/>
          <w:szCs w:val="21"/>
        </w:rPr>
        <w:t>法定代表人或其委托代理人(签字)：</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_</w:t>
      </w:r>
      <w:bookmarkEnd w:id="25"/>
    </w:p>
    <w:p>
      <w:pPr>
        <w:spacing w:line="36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 xml:space="preserve">日期：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年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月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日</w:t>
      </w:r>
    </w:p>
    <w:p>
      <w:pPr>
        <w:adjustRightInd w:val="0"/>
        <w:snapToGrid w:val="0"/>
        <w:jc w:val="center"/>
        <w:rPr>
          <w:rFonts w:hint="eastAsia" w:asciiTheme="minorEastAsia" w:hAnsiTheme="minorEastAsia" w:eastAsiaTheme="minorEastAsia" w:cstheme="minorEastAsia"/>
          <w:b/>
          <w:color w:val="auto"/>
          <w:sz w:val="28"/>
          <w:szCs w:val="28"/>
        </w:rPr>
      </w:pPr>
    </w:p>
    <w:p>
      <w:pPr>
        <w:adjustRightInd w:val="0"/>
        <w:snapToGrid w:val="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附件</w:t>
      </w:r>
      <w:r>
        <w:rPr>
          <w:rFonts w:hint="eastAsia" w:asciiTheme="minorEastAsia" w:hAnsiTheme="minorEastAsia" w:eastAsiaTheme="minorEastAsia" w:cstheme="minorEastAsia"/>
          <w:color w:val="auto"/>
          <w:sz w:val="28"/>
          <w:szCs w:val="28"/>
          <w:lang w:val="en-US" w:eastAsia="zh-CN"/>
        </w:rPr>
        <w:t>11：                    承诺函</w:t>
      </w:r>
    </w:p>
    <w:p>
      <w:pPr>
        <w:spacing w:line="360" w:lineRule="exact"/>
        <w:rPr>
          <w:rFonts w:hint="eastAsia" w:asciiTheme="minorEastAsia" w:hAnsiTheme="minorEastAsia" w:eastAsiaTheme="minorEastAsia" w:cstheme="minorEastAsia"/>
          <w:color w:val="auto"/>
          <w:kern w:val="0"/>
          <w:szCs w:val="21"/>
        </w:rPr>
      </w:pPr>
    </w:p>
    <w:p>
      <w:pPr>
        <w:spacing w:line="36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致</w:t>
      </w:r>
      <w:r>
        <w:rPr>
          <w:rFonts w:hint="eastAsia" w:asciiTheme="minorEastAsia" w:hAnsiTheme="minorEastAsia" w:eastAsiaTheme="minorEastAsia" w:cstheme="minorEastAsia"/>
          <w:color w:val="auto"/>
          <w:kern w:val="0"/>
          <w:szCs w:val="21"/>
          <w:u w:val="single"/>
          <w:lang w:eastAsia="zh-CN"/>
        </w:rPr>
        <w:t>湘潭市中心医院</w:t>
      </w:r>
      <w:r>
        <w:rPr>
          <w:rFonts w:hint="eastAsia" w:asciiTheme="minorEastAsia" w:hAnsiTheme="minorEastAsia" w:eastAsiaTheme="minorEastAsia" w:cstheme="minorEastAsia"/>
          <w:color w:val="auto"/>
          <w:kern w:val="0"/>
          <w:szCs w:val="21"/>
        </w:rPr>
        <w:t>：</w:t>
      </w:r>
    </w:p>
    <w:p>
      <w:pPr>
        <w:spacing w:line="360" w:lineRule="exact"/>
        <w:ind w:firstLine="420" w:firstLineChars="200"/>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我公司郑重承诺</w:t>
      </w:r>
      <w:r>
        <w:rPr>
          <w:rFonts w:hint="eastAsia" w:asciiTheme="minorEastAsia" w:hAnsiTheme="minorEastAsia" w:eastAsiaTheme="minorEastAsia" w:cstheme="minorEastAsia"/>
          <w:color w:val="auto"/>
          <w:kern w:val="0"/>
          <w:szCs w:val="21"/>
          <w:lang w:eastAsia="zh-CN"/>
        </w:rPr>
        <w:t>：</w:t>
      </w:r>
    </w:p>
    <w:p>
      <w:pPr>
        <w:spacing w:line="36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eastAsiaTheme="minorEastAsia" w:cstheme="minorEastAsia"/>
          <w:color w:val="auto"/>
          <w:u w:val="single"/>
          <w:lang w:eastAsia="zh-CN"/>
        </w:rPr>
        <w:t>湘潭市中心医院核磁共振楼装饰工程</w:t>
      </w:r>
      <w:r>
        <w:rPr>
          <w:rFonts w:hint="eastAsia" w:asciiTheme="minorEastAsia" w:hAnsiTheme="minorEastAsia" w:eastAsiaTheme="minorEastAsia" w:cstheme="minorEastAsia"/>
          <w:color w:val="auto"/>
          <w:kern w:val="0"/>
          <w:szCs w:val="21"/>
        </w:rPr>
        <w:t>投标文件载明的注册建造师、技术负责人、专职安全员系我公司在职人员，未发生挂靠、借用资质等违法行为，并在此承诺一旦中标，在施工过程中不更换以上人员，并严格按合同约定驻守现场工作。特殊情况下，经你方同意，方可更换和离开现场。</w:t>
      </w:r>
    </w:p>
    <w:p>
      <w:pPr>
        <w:spacing w:line="36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在施工过程中如你方发现我</w:t>
      </w:r>
      <w:r>
        <w:rPr>
          <w:rFonts w:hint="eastAsia" w:asciiTheme="minorEastAsia" w:hAnsiTheme="minorEastAsia" w:eastAsiaTheme="minorEastAsia" w:cstheme="minorEastAsia"/>
          <w:color w:val="auto"/>
          <w:kern w:val="0"/>
          <w:szCs w:val="21"/>
          <w:lang w:eastAsia="zh-CN"/>
        </w:rPr>
        <w:t>公司</w:t>
      </w:r>
      <w:r>
        <w:rPr>
          <w:rFonts w:hint="eastAsia" w:asciiTheme="minorEastAsia" w:hAnsiTheme="minorEastAsia" w:eastAsiaTheme="minorEastAsia" w:cstheme="minorEastAsia"/>
          <w:color w:val="auto"/>
          <w:kern w:val="0"/>
          <w:szCs w:val="21"/>
        </w:rPr>
        <w:t>有挂靠、借用资质、未经同意更换注册建造师、技术负责人、专职安全员或转包行为，你方可单方面终止合同，并没收履约保证金，我</w:t>
      </w:r>
      <w:r>
        <w:rPr>
          <w:rFonts w:hint="eastAsia" w:asciiTheme="minorEastAsia" w:hAnsiTheme="minorEastAsia" w:eastAsiaTheme="minorEastAsia" w:cstheme="minorEastAsia"/>
          <w:color w:val="auto"/>
          <w:kern w:val="0"/>
          <w:szCs w:val="21"/>
          <w:lang w:eastAsia="zh-CN"/>
        </w:rPr>
        <w:t>公司</w:t>
      </w:r>
      <w:r>
        <w:rPr>
          <w:rFonts w:hint="eastAsia" w:asciiTheme="minorEastAsia" w:hAnsiTheme="minorEastAsia" w:eastAsiaTheme="minorEastAsia" w:cstheme="minorEastAsia"/>
          <w:color w:val="auto"/>
          <w:kern w:val="0"/>
          <w:szCs w:val="21"/>
        </w:rPr>
        <w:t>愿意加倍赔偿由此给你方造成的经济损失，同时承担有关法律责任。</w:t>
      </w:r>
    </w:p>
    <w:p>
      <w:pPr>
        <w:spacing w:line="36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2、</w:t>
      </w:r>
      <w:r>
        <w:rPr>
          <w:rFonts w:hint="eastAsia" w:asciiTheme="minorEastAsia" w:hAnsiTheme="minorEastAsia" w:eastAsiaTheme="minorEastAsia" w:cstheme="minorEastAsia"/>
          <w:color w:val="auto"/>
          <w:kern w:val="0"/>
          <w:szCs w:val="21"/>
          <w:lang w:eastAsia="zh-CN"/>
        </w:rPr>
        <w:t>我公司将</w:t>
      </w:r>
      <w:r>
        <w:rPr>
          <w:rFonts w:hint="eastAsia" w:asciiTheme="minorEastAsia" w:hAnsiTheme="minorEastAsia" w:eastAsiaTheme="minorEastAsia" w:cstheme="minorEastAsia"/>
          <w:color w:val="auto"/>
          <w:kern w:val="0"/>
          <w:szCs w:val="21"/>
        </w:rPr>
        <w:t>保护好施工现场内外的环境及卫生，施工材料及垃圾须集中堆放、清理。</w:t>
      </w:r>
    </w:p>
    <w:p>
      <w:pPr>
        <w:spacing w:line="36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lang w:eastAsia="zh-CN"/>
        </w:rPr>
        <w:t>我公司将</w:t>
      </w:r>
      <w:r>
        <w:rPr>
          <w:rFonts w:hint="eastAsia" w:asciiTheme="minorEastAsia" w:hAnsiTheme="minorEastAsia" w:eastAsiaTheme="minorEastAsia" w:cstheme="minorEastAsia"/>
          <w:color w:val="auto"/>
          <w:kern w:val="0"/>
          <w:szCs w:val="21"/>
        </w:rPr>
        <w:t>管理好进入采购单位内的施工人员。</w:t>
      </w:r>
    </w:p>
    <w:p>
      <w:pPr>
        <w:spacing w:line="360" w:lineRule="exact"/>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4、我公司</w:t>
      </w:r>
      <w:r>
        <w:rPr>
          <w:rFonts w:hint="eastAsia" w:asciiTheme="minorEastAsia" w:hAnsiTheme="minorEastAsia" w:eastAsiaTheme="minorEastAsia" w:cstheme="minorEastAsia"/>
          <w:color w:val="auto"/>
          <w:kern w:val="0"/>
          <w:szCs w:val="21"/>
          <w:lang w:eastAsia="zh-CN"/>
        </w:rPr>
        <w:t>将</w:t>
      </w:r>
      <w:r>
        <w:rPr>
          <w:rFonts w:hint="eastAsia" w:asciiTheme="minorEastAsia" w:hAnsiTheme="minorEastAsia" w:eastAsiaTheme="minorEastAsia" w:cstheme="minorEastAsia"/>
          <w:color w:val="auto"/>
          <w:kern w:val="0"/>
          <w:szCs w:val="21"/>
        </w:rPr>
        <w:t>保证施工现场作业人员的安全，杜绝一切安全事故的发生。</w:t>
      </w:r>
    </w:p>
    <w:p>
      <w:pPr>
        <w:spacing w:line="360" w:lineRule="auto"/>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5</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eastAsia="zh-CN"/>
        </w:rPr>
        <w:t>我公司将</w:t>
      </w:r>
      <w:r>
        <w:rPr>
          <w:rFonts w:hint="eastAsia" w:asciiTheme="minorEastAsia" w:hAnsiTheme="minorEastAsia" w:eastAsiaTheme="minorEastAsia" w:cstheme="minorEastAsia"/>
          <w:color w:val="auto"/>
          <w:kern w:val="0"/>
          <w:szCs w:val="21"/>
        </w:rPr>
        <w:t>负责施工现场周边环境的施工进出道路处理及周边人际关系的处理和协调，杜绝阻工事件的发生，</w:t>
      </w:r>
      <w:r>
        <w:rPr>
          <w:rFonts w:hint="eastAsia" w:asciiTheme="minorEastAsia" w:hAnsiTheme="minorEastAsia" w:eastAsiaTheme="minorEastAsia" w:cstheme="minorEastAsia"/>
          <w:color w:val="auto"/>
          <w:kern w:val="0"/>
          <w:szCs w:val="21"/>
          <w:lang w:eastAsia="zh-CN"/>
        </w:rPr>
        <w:t>将根据施工进度，以公告的形式提前公示通知公安局离退休干部居民楼居民，</w:t>
      </w:r>
      <w:r>
        <w:rPr>
          <w:rFonts w:hint="eastAsia" w:asciiTheme="minorEastAsia" w:hAnsiTheme="minorEastAsia" w:eastAsiaTheme="minorEastAsia" w:cstheme="minorEastAsia"/>
          <w:color w:val="auto"/>
          <w:kern w:val="0"/>
          <w:szCs w:val="21"/>
        </w:rPr>
        <w:t>由此产生的费用一概由</w:t>
      </w:r>
      <w:r>
        <w:rPr>
          <w:rFonts w:hint="eastAsia" w:asciiTheme="minorEastAsia" w:hAnsiTheme="minorEastAsia" w:eastAsiaTheme="minorEastAsia" w:cstheme="minorEastAsia"/>
          <w:color w:val="auto"/>
          <w:kern w:val="0"/>
          <w:szCs w:val="21"/>
          <w:lang w:eastAsia="zh-CN"/>
        </w:rPr>
        <w:t>我公司</w:t>
      </w:r>
      <w:r>
        <w:rPr>
          <w:rFonts w:hint="eastAsia" w:asciiTheme="minorEastAsia" w:hAnsiTheme="minorEastAsia" w:eastAsiaTheme="minorEastAsia" w:cstheme="minorEastAsia"/>
          <w:color w:val="auto"/>
          <w:kern w:val="0"/>
          <w:szCs w:val="21"/>
        </w:rPr>
        <w:t>负责。</w:t>
      </w:r>
      <w:r>
        <w:rPr>
          <w:rFonts w:hint="eastAsia" w:ascii="宋体" w:hAnsi="宋体" w:cs="宋体"/>
          <w:color w:val="auto"/>
        </w:rPr>
        <w:t>施工时不得影响</w:t>
      </w:r>
      <w:r>
        <w:rPr>
          <w:rFonts w:hint="eastAsia" w:ascii="宋体" w:hAnsi="宋体" w:cs="宋体"/>
          <w:color w:val="auto"/>
          <w:lang w:eastAsia="zh-CN"/>
        </w:rPr>
        <w:t>贵</w:t>
      </w:r>
      <w:r>
        <w:rPr>
          <w:rFonts w:hint="eastAsia" w:ascii="宋体" w:hAnsi="宋体" w:cs="宋体"/>
          <w:color w:val="auto"/>
        </w:rPr>
        <w:t>院常规</w:t>
      </w:r>
      <w:r>
        <w:rPr>
          <w:rFonts w:hint="eastAsia" w:ascii="宋体" w:hAnsi="宋体" w:cs="宋体"/>
          <w:color w:val="auto"/>
          <w:lang w:eastAsia="zh-CN"/>
        </w:rPr>
        <w:t>医疗</w:t>
      </w:r>
      <w:r>
        <w:rPr>
          <w:rFonts w:hint="eastAsia" w:ascii="宋体" w:hAnsi="宋体" w:cs="宋体"/>
          <w:color w:val="auto"/>
        </w:rPr>
        <w:t>和教学任务的正常进行。</w:t>
      </w:r>
    </w:p>
    <w:p>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6、我公司</w:t>
      </w:r>
      <w:r>
        <w:rPr>
          <w:rFonts w:hint="eastAsia" w:asciiTheme="minorEastAsia" w:hAnsiTheme="minorEastAsia" w:eastAsiaTheme="minorEastAsia" w:cstheme="minorEastAsia"/>
          <w:color w:val="auto"/>
          <w:kern w:val="0"/>
          <w:szCs w:val="21"/>
          <w:lang w:eastAsia="zh-CN"/>
        </w:rPr>
        <w:t>将</w:t>
      </w:r>
      <w:r>
        <w:rPr>
          <w:rFonts w:hint="eastAsia" w:asciiTheme="minorEastAsia" w:hAnsiTheme="minorEastAsia" w:eastAsiaTheme="minorEastAsia" w:cstheme="minorEastAsia"/>
          <w:color w:val="auto"/>
          <w:kern w:val="0"/>
          <w:szCs w:val="21"/>
          <w:lang w:val="en-US" w:eastAsia="zh-CN"/>
        </w:rPr>
        <w:t>做好与消防、弱电外围工程、电梯等施工队伍的工作衔接和配合工作，由此产生的费用一概由我公司负责。</w:t>
      </w:r>
      <w:r>
        <w:rPr>
          <w:rFonts w:hint="eastAsia" w:asciiTheme="minorEastAsia" w:hAnsiTheme="minorEastAsia" w:eastAsiaTheme="minorEastAsia" w:cstheme="minorEastAsia"/>
          <w:color w:val="auto"/>
          <w:szCs w:val="21"/>
          <w:lang w:eastAsia="zh-CN"/>
        </w:rPr>
        <w:t>除非采购单位书面通知，我公司不得以任何理由停工或顺延工期。</w:t>
      </w:r>
    </w:p>
    <w:p>
      <w:pPr>
        <w:pStyle w:val="2"/>
        <w:ind w:left="0"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2"/>
          <w:sz w:val="21"/>
          <w:szCs w:val="21"/>
          <w:lang w:val="en-US" w:eastAsia="zh-CN" w:bidi="ar-SA"/>
        </w:rPr>
        <w:t>7、我公司将严格按图纸施工，施工中，减少一切非必要变更。严格按采购人工期（</w:t>
      </w:r>
      <w:r>
        <w:rPr>
          <w:rFonts w:hint="eastAsia" w:asciiTheme="minorEastAsia" w:hAnsiTheme="minorEastAsia" w:eastAsiaTheme="minorEastAsia" w:cstheme="minorEastAsia"/>
          <w:color w:val="auto"/>
          <w:kern w:val="2"/>
          <w:sz w:val="21"/>
          <w:szCs w:val="21"/>
          <w:u w:val="single"/>
          <w:lang w:val="en-US" w:eastAsia="zh-CN" w:bidi="ar-SA"/>
        </w:rPr>
        <w:t>开工日期为2019年2月14日，2019年5月14日前必须完成工程验收</w:t>
      </w:r>
      <w:r>
        <w:rPr>
          <w:rFonts w:hint="eastAsia" w:asciiTheme="minorEastAsia" w:hAnsiTheme="minorEastAsia" w:eastAsiaTheme="minorEastAsia" w:cstheme="minorEastAsia"/>
          <w:color w:val="auto"/>
          <w:kern w:val="2"/>
          <w:sz w:val="21"/>
          <w:szCs w:val="21"/>
          <w:lang w:val="en-US" w:eastAsia="zh-CN" w:bidi="ar-SA"/>
        </w:rPr>
        <w:t>）要求加快施工进度，逾期将按5000元/天缴纳罚款。超过15天，采购单位有权解除合同。</w:t>
      </w:r>
    </w:p>
    <w:p>
      <w:pPr>
        <w:pStyle w:val="2"/>
        <w:rPr>
          <w:rFonts w:hint="eastAsia" w:asciiTheme="minorEastAsia" w:hAnsiTheme="minorEastAsia" w:eastAsiaTheme="minorEastAsia" w:cstheme="minorEastAsia"/>
          <w:bCs/>
          <w:color w:val="auto"/>
          <w:szCs w:val="21"/>
          <w:lang w:val="en-US" w:eastAsia="zh-CN"/>
        </w:rPr>
      </w:pPr>
    </w:p>
    <w:p>
      <w:pPr>
        <w:pStyle w:val="2"/>
        <w:rPr>
          <w:rFonts w:hint="eastAsia" w:asciiTheme="minorEastAsia" w:hAnsiTheme="minorEastAsia" w:eastAsiaTheme="minorEastAsia" w:cstheme="minorEastAsia"/>
          <w:bCs/>
          <w:color w:val="auto"/>
          <w:szCs w:val="21"/>
          <w:lang w:val="en-US" w:eastAsia="zh-CN"/>
        </w:rPr>
      </w:pPr>
    </w:p>
    <w:p>
      <w:pPr>
        <w:spacing w:line="360" w:lineRule="exact"/>
        <w:rPr>
          <w:rFonts w:hint="eastAsia" w:asciiTheme="minorEastAsia" w:hAnsiTheme="minorEastAsia" w:eastAsiaTheme="minorEastAsia" w:cstheme="minorEastAsia"/>
          <w:color w:val="auto"/>
          <w:kern w:val="0"/>
          <w:szCs w:val="21"/>
        </w:rPr>
      </w:pPr>
    </w:p>
    <w:p>
      <w:pPr>
        <w:spacing w:line="36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投  标  人：（盖公章）</w:t>
      </w:r>
    </w:p>
    <w:p>
      <w:pPr>
        <w:spacing w:line="36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法定代表人（或授权委托代理人）：（盖章）</w:t>
      </w:r>
    </w:p>
    <w:p>
      <w:pPr>
        <w:spacing w:line="360" w:lineRule="exac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日 期：　　　　年　　月　　日</w:t>
      </w:r>
    </w:p>
    <w:p>
      <w:pPr>
        <w:pStyle w:val="2"/>
        <w:rPr>
          <w:rFonts w:hint="eastAsia" w:asciiTheme="minorEastAsia" w:hAnsiTheme="minorEastAsia" w:eastAsiaTheme="minorEastAsia" w:cstheme="minorEastAsia"/>
          <w:color w:val="auto"/>
          <w:lang w:val="en-US" w:eastAsia="zh-CN"/>
        </w:rPr>
      </w:pPr>
    </w:p>
    <w:p>
      <w:pPr>
        <w:ind w:firstLine="424" w:firstLineChars="202"/>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 xml:space="preserve"> </w:t>
      </w:r>
    </w:p>
    <w:p>
      <w:pPr>
        <w:pStyle w:val="35"/>
        <w:ind w:firstLine="400"/>
        <w:rPr>
          <w:rFonts w:hint="eastAsia" w:asciiTheme="minorEastAsia" w:hAnsiTheme="minorEastAsia" w:eastAsiaTheme="minorEastAsia" w:cstheme="minorEastAsia"/>
          <w:color w:val="auto"/>
        </w:rPr>
      </w:pPr>
    </w:p>
    <w:p>
      <w:pPr>
        <w:pStyle w:val="35"/>
        <w:ind w:firstLine="400"/>
        <w:rPr>
          <w:rFonts w:hint="eastAsia" w:asciiTheme="minorEastAsia" w:hAnsiTheme="minorEastAsia" w:eastAsiaTheme="minorEastAsia" w:cstheme="minorEastAsia"/>
          <w:color w:val="auto"/>
        </w:rPr>
      </w:pPr>
    </w:p>
    <w:p>
      <w:pPr>
        <w:pStyle w:val="35"/>
        <w:ind w:firstLine="400"/>
        <w:rPr>
          <w:rFonts w:hint="eastAsia" w:asciiTheme="minorEastAsia" w:hAnsiTheme="minorEastAsia" w:eastAsiaTheme="minorEastAsia" w:cstheme="minorEastAsia"/>
          <w:color w:val="auto"/>
        </w:rPr>
      </w:pPr>
    </w:p>
    <w:p>
      <w:pPr>
        <w:pStyle w:val="35"/>
        <w:ind w:firstLine="400"/>
        <w:rPr>
          <w:rFonts w:hint="eastAsia" w:asciiTheme="minorEastAsia" w:hAnsiTheme="minorEastAsia" w:eastAsiaTheme="minorEastAsia" w:cstheme="minorEastAsia"/>
          <w:color w:val="auto"/>
        </w:rPr>
      </w:pPr>
    </w:p>
    <w:p>
      <w:pPr>
        <w:adjustRightInd w:val="0"/>
        <w:snapToGrid w:val="0"/>
        <w:ind w:left="-88" w:leftChars="-42"/>
        <w:jc w:val="center"/>
        <w:rPr>
          <w:rFonts w:hint="eastAsia" w:asciiTheme="minorEastAsia" w:hAnsiTheme="minorEastAsia" w:eastAsiaTheme="minorEastAsia" w:cstheme="minorEastAsia"/>
          <w:b/>
          <w:color w:val="auto"/>
          <w:sz w:val="32"/>
          <w:szCs w:val="32"/>
        </w:rPr>
      </w:pPr>
    </w:p>
    <w:p>
      <w:pPr>
        <w:adjustRightInd w:val="0"/>
        <w:snapToGrid w:val="0"/>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七、供应商认为需要提供的其它资料</w:t>
      </w:r>
    </w:p>
    <w:p>
      <w:pPr>
        <w:adjustRightInd w:val="0"/>
        <w:snapToGrid w:val="0"/>
        <w:jc w:val="cente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adjustRightInd w:val="0"/>
        <w:snapToGrid w:val="0"/>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八、最后报价</w:t>
      </w:r>
    </w:p>
    <w:p>
      <w:pPr>
        <w:adjustRightInd w:val="0"/>
        <w:snapToGrid w:val="0"/>
        <w:ind w:left="-88" w:leftChars="-42"/>
        <w:rPr>
          <w:rFonts w:hint="eastAsia" w:asciiTheme="minorEastAsia" w:hAnsiTheme="minorEastAsia" w:eastAsiaTheme="minorEastAsia" w:cstheme="minorEastAsia"/>
          <w:color w:val="auto"/>
          <w:szCs w:val="21"/>
        </w:rPr>
      </w:pPr>
    </w:p>
    <w:p>
      <w:pPr>
        <w:adjustRightInd w:val="0"/>
        <w:snapToGrid w:val="0"/>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说明：最后报价按规定在</w:t>
      </w:r>
      <w:r>
        <w:rPr>
          <w:rFonts w:hint="eastAsia" w:asciiTheme="minorEastAsia" w:hAnsiTheme="minorEastAsia" w:eastAsiaTheme="minorEastAsia" w:cstheme="minorEastAsia"/>
          <w:color w:val="auto"/>
          <w:sz w:val="28"/>
          <w:szCs w:val="28"/>
          <w:lang w:val="en-US" w:eastAsia="zh-CN"/>
        </w:rPr>
        <w:t>湘潭市公共资源交易中心</w:t>
      </w:r>
      <w:r>
        <w:rPr>
          <w:rFonts w:hint="eastAsia" w:asciiTheme="minorEastAsia" w:hAnsiTheme="minorEastAsia" w:eastAsiaTheme="minorEastAsia" w:cstheme="minorEastAsia"/>
          <w:color w:val="auto"/>
          <w:sz w:val="28"/>
          <w:szCs w:val="28"/>
        </w:rPr>
        <w:t>现场提供。</w:t>
      </w: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（全文完）</w:t>
      </w:r>
    </w:p>
    <w:sectPr>
      <w:headerReference r:id="rId3" w:type="default"/>
      <w:footerReference r:id="rId4" w:type="default"/>
      <w:footerReference r:id="rId5" w:type="even"/>
      <w:type w:val="continuous"/>
      <w:pgSz w:w="11906" w:h="16838"/>
      <w:pgMar w:top="1474" w:right="1474" w:bottom="1276"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ail">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4D"/>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华文细黑">
    <w:altName w:val="微软雅黑"/>
    <w:panose1 w:val="00000000000000000000"/>
    <w:charset w:val="86"/>
    <w:family w:val="auto"/>
    <w:pitch w:val="default"/>
    <w:sig w:usb0="00000000" w:usb1="00000000" w:usb2="00000010" w:usb3="00000000" w:csb0="0004009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inline distT="0" distB="0" distL="0" distR="0">
          <wp:extent cx="285115" cy="277495"/>
          <wp:effectExtent l="19050" t="0" r="111" b="0"/>
          <wp:docPr id="8" name="图片 4" descr="湖南建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湖南建业LOGO.jpg"/>
                  <pic:cNvPicPr>
                    <a:picLocks noChangeAspect="1"/>
                  </pic:cNvPicPr>
                </pic:nvPicPr>
                <pic:blipFill>
                  <a:blip r:embed="rId1"/>
                  <a:stretch>
                    <a:fillRect/>
                  </a:stretch>
                </pic:blipFill>
                <pic:spPr>
                  <a:xfrm>
                    <a:off x="0" y="0"/>
                    <a:ext cx="285734" cy="277663"/>
                  </a:xfrm>
                  <a:prstGeom prst="rect">
                    <a:avLst/>
                  </a:prstGeom>
                </pic:spPr>
              </pic:pic>
            </a:graphicData>
          </a:graphic>
        </wp:inline>
      </w:drawing>
    </w:r>
    <w:r>
      <w:rPr>
        <w:rFonts w:hint="eastAsia"/>
      </w:rPr>
      <w:t>湖南建业管理咨询有限公司</w:t>
    </w:r>
  </w:p>
  <w:p>
    <w:pPr>
      <w:pStyle w:val="34"/>
      <w:ind w:right="360"/>
      <w:jc w:val="right"/>
    </w:pPr>
    <w:r>
      <w:fldChar w:fldCharType="begin"/>
    </w:r>
    <w:r>
      <w:instrText xml:space="preserve"> PAGE   \* MERGEFORMAT </w:instrText>
    </w:r>
    <w:r>
      <w:fldChar w:fldCharType="separate"/>
    </w:r>
    <w:r>
      <w:rPr>
        <w:lang w:val="zh-CN"/>
      </w:rPr>
      <w:t>42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2"/>
      </w:rPr>
    </w:pPr>
    <w:r>
      <w:fldChar w:fldCharType="begin"/>
    </w:r>
    <w:r>
      <w:rPr>
        <w:rStyle w:val="52"/>
      </w:rPr>
      <w:instrText xml:space="preserve">PAGE  </w:instrText>
    </w:r>
    <w:r>
      <w:fldChar w:fldCharType="end"/>
    </w:r>
  </w:p>
  <w:p>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r>
      <w:rPr>
        <w:rFonts w:hint="eastAsia" w:hAnsi="宋体"/>
        <w:lang w:eastAsia="zh-CN"/>
      </w:rPr>
      <w:t>湘潭市中心医院核磁共振楼装饰工程</w:t>
    </w:r>
    <w:r>
      <w:rPr>
        <w:rFonts w:hint="eastAsia" w:hAnsi="宋体"/>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308"/>
      <w:lvlText w:val="%1."/>
      <w:lvlJc w:val="left"/>
      <w:pPr>
        <w:tabs>
          <w:tab w:val="left" w:pos="1620"/>
        </w:tabs>
        <w:ind w:left="1620" w:hanging="360"/>
      </w:pPr>
    </w:lvl>
  </w:abstractNum>
  <w:abstractNum w:abstractNumId="1">
    <w:nsid w:val="00000007"/>
    <w:multiLevelType w:val="multilevel"/>
    <w:tmpl w:val="00000007"/>
    <w:lvl w:ilvl="0" w:tentative="0">
      <w:start w:val="1"/>
      <w:numFmt w:val="bullet"/>
      <w:pStyle w:val="52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682F26"/>
    <w:multiLevelType w:val="multilevel"/>
    <w:tmpl w:val="01682F26"/>
    <w:lvl w:ilvl="0" w:tentative="0">
      <w:start w:val="1"/>
      <w:numFmt w:val="decimal"/>
      <w:pStyle w:val="592"/>
      <w:lvlText w:val="表%1."/>
      <w:lvlJc w:val="left"/>
      <w:pPr>
        <w:tabs>
          <w:tab w:val="left" w:pos="0"/>
        </w:tabs>
        <w:ind w:left="0" w:firstLine="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1EE354D"/>
    <w:multiLevelType w:val="multilevel"/>
    <w:tmpl w:val="01EE354D"/>
    <w:lvl w:ilvl="0" w:tentative="0">
      <w:start w:val="1"/>
      <w:numFmt w:val="bullet"/>
      <w:lvlText w:val=""/>
      <w:lvlJc w:val="left"/>
      <w:pPr>
        <w:ind w:left="420" w:hanging="420"/>
      </w:pPr>
      <w:rPr>
        <w:rFonts w:hint="default" w:ascii="Wingdings" w:hAnsi="Wingdings"/>
      </w:rPr>
    </w:lvl>
    <w:lvl w:ilvl="1" w:tentative="0">
      <w:start w:val="1"/>
      <w:numFmt w:val="lowerLetter"/>
      <w:pStyle w:val="56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9B922C4"/>
    <w:multiLevelType w:val="multilevel"/>
    <w:tmpl w:val="09B922C4"/>
    <w:lvl w:ilvl="0" w:tentative="0">
      <w:start w:val="1"/>
      <w:numFmt w:val="decimal"/>
      <w:lvlText w:val="%1."/>
      <w:lvlJc w:val="left"/>
      <w:pPr>
        <w:tabs>
          <w:tab w:val="left" w:pos="425"/>
        </w:tabs>
        <w:ind w:left="425" w:hanging="425"/>
      </w:pPr>
      <w:rPr>
        <w:sz w:val="30"/>
        <w:szCs w:val="30"/>
      </w:rPr>
    </w:lvl>
    <w:lvl w:ilvl="1" w:tentative="0">
      <w:start w:val="1"/>
      <w:numFmt w:val="decimal"/>
      <w:lvlText w:val="%1.%2."/>
      <w:lvlJc w:val="left"/>
      <w:pPr>
        <w:tabs>
          <w:tab w:val="left" w:pos="567"/>
        </w:tabs>
        <w:ind w:left="567" w:hanging="567"/>
      </w:pPr>
    </w:lvl>
    <w:lvl w:ilvl="2" w:tentative="0">
      <w:start w:val="1"/>
      <w:numFmt w:val="decimal"/>
      <w:pStyle w:val="622"/>
      <w:lvlText w:val="%1.%2.%3."/>
      <w:lvlJc w:val="left"/>
      <w:pPr>
        <w:tabs>
          <w:tab w:val="left" w:pos="1069"/>
        </w:tabs>
        <w:ind w:left="106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153E2639"/>
    <w:multiLevelType w:val="multilevel"/>
    <w:tmpl w:val="153E2639"/>
    <w:lvl w:ilvl="0" w:tentative="0">
      <w:start w:val="1"/>
      <w:numFmt w:val="bullet"/>
      <w:pStyle w:val="615"/>
      <w:lvlText w:val=""/>
      <w:lvlJc w:val="left"/>
      <w:pPr>
        <w:tabs>
          <w:tab w:val="left" w:pos="1547"/>
        </w:tabs>
        <w:ind w:left="1547" w:hanging="507"/>
      </w:pPr>
      <w:rPr>
        <w:rFonts w:hint="default" w:ascii="Wingdings" w:hAnsi="Wingdings"/>
      </w:rPr>
    </w:lvl>
    <w:lvl w:ilvl="1" w:tentative="0">
      <w:start w:val="1"/>
      <w:numFmt w:val="decimal"/>
      <w:lvlText w:val="%2、"/>
      <w:lvlJc w:val="left"/>
      <w:pPr>
        <w:tabs>
          <w:tab w:val="left" w:pos="2180"/>
        </w:tabs>
        <w:ind w:left="2180" w:hanging="720"/>
      </w:pPr>
      <w:rPr>
        <w:rFonts w:hint="eastAsia"/>
      </w:rPr>
    </w:lvl>
    <w:lvl w:ilvl="2" w:tentative="0">
      <w:start w:val="1"/>
      <w:numFmt w:val="lowerRoman"/>
      <w:lvlText w:val="%3."/>
      <w:lvlJc w:val="right"/>
      <w:pPr>
        <w:tabs>
          <w:tab w:val="left" w:pos="2300"/>
        </w:tabs>
        <w:ind w:left="2300" w:hanging="420"/>
      </w:pPr>
    </w:lvl>
    <w:lvl w:ilvl="3" w:tentative="0">
      <w:start w:val="1"/>
      <w:numFmt w:val="decimal"/>
      <w:lvlText w:val="%4."/>
      <w:lvlJc w:val="left"/>
      <w:pPr>
        <w:tabs>
          <w:tab w:val="left" w:pos="2720"/>
        </w:tabs>
        <w:ind w:left="2720" w:hanging="420"/>
      </w:pPr>
    </w:lvl>
    <w:lvl w:ilvl="4" w:tentative="0">
      <w:start w:val="1"/>
      <w:numFmt w:val="lowerLetter"/>
      <w:lvlText w:val="%5)"/>
      <w:lvlJc w:val="left"/>
      <w:pPr>
        <w:tabs>
          <w:tab w:val="left" w:pos="3140"/>
        </w:tabs>
        <w:ind w:left="3140" w:hanging="420"/>
      </w:pPr>
    </w:lvl>
    <w:lvl w:ilvl="5" w:tentative="0">
      <w:start w:val="1"/>
      <w:numFmt w:val="lowerRoman"/>
      <w:lvlText w:val="%6."/>
      <w:lvlJc w:val="right"/>
      <w:pPr>
        <w:tabs>
          <w:tab w:val="left" w:pos="3560"/>
        </w:tabs>
        <w:ind w:left="3560" w:hanging="420"/>
      </w:pPr>
    </w:lvl>
    <w:lvl w:ilvl="6" w:tentative="0">
      <w:start w:val="1"/>
      <w:numFmt w:val="decimal"/>
      <w:lvlText w:val="%7."/>
      <w:lvlJc w:val="left"/>
      <w:pPr>
        <w:tabs>
          <w:tab w:val="left" w:pos="3980"/>
        </w:tabs>
        <w:ind w:left="3980" w:hanging="420"/>
      </w:pPr>
    </w:lvl>
    <w:lvl w:ilvl="7" w:tentative="0">
      <w:start w:val="1"/>
      <w:numFmt w:val="lowerLetter"/>
      <w:lvlText w:val="%8)"/>
      <w:lvlJc w:val="left"/>
      <w:pPr>
        <w:tabs>
          <w:tab w:val="left" w:pos="4400"/>
        </w:tabs>
        <w:ind w:left="4400" w:hanging="420"/>
      </w:pPr>
    </w:lvl>
    <w:lvl w:ilvl="8" w:tentative="0">
      <w:start w:val="1"/>
      <w:numFmt w:val="lowerRoman"/>
      <w:lvlText w:val="%9."/>
      <w:lvlJc w:val="right"/>
      <w:pPr>
        <w:tabs>
          <w:tab w:val="left" w:pos="4820"/>
        </w:tabs>
        <w:ind w:left="4820" w:hanging="420"/>
      </w:pPr>
    </w:lvl>
  </w:abstractNum>
  <w:abstractNum w:abstractNumId="6">
    <w:nsid w:val="1EB54090"/>
    <w:multiLevelType w:val="multilevel"/>
    <w:tmpl w:val="1EB54090"/>
    <w:lvl w:ilvl="0" w:tentative="0">
      <w:start w:val="1"/>
      <w:numFmt w:val="bullet"/>
      <w:pStyle w:val="463"/>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FC91163"/>
    <w:multiLevelType w:val="multilevel"/>
    <w:tmpl w:val="1FC91163"/>
    <w:lvl w:ilvl="0" w:tentative="0">
      <w:start w:val="1"/>
      <w:numFmt w:val="decimal"/>
      <w:pStyle w:val="293"/>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316"/>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15"/>
      <w:suff w:val="nothing"/>
      <w:lvlText w:val="%1.%2.%3　"/>
      <w:lvlJc w:val="left"/>
      <w:pPr>
        <w:ind w:left="1702" w:firstLine="0"/>
      </w:pPr>
      <w:rPr>
        <w:rFonts w:hint="eastAsia" w:ascii="黑体" w:hAnsi="Times New Roman" w:eastAsia="黑体"/>
        <w:b w:val="0"/>
        <w:i w:val="0"/>
        <w:sz w:val="21"/>
      </w:rPr>
    </w:lvl>
    <w:lvl w:ilvl="3" w:tentative="0">
      <w:start w:val="1"/>
      <w:numFmt w:val="decimal"/>
      <w:pStyle w:val="314"/>
      <w:suff w:val="nothing"/>
      <w:lvlText w:val="%1.%2.%3.%4　"/>
      <w:lvlJc w:val="left"/>
      <w:pPr>
        <w:ind w:left="993" w:firstLine="0"/>
      </w:pPr>
      <w:rPr>
        <w:rFonts w:hint="eastAsia" w:ascii="黑体" w:hAnsi="Times New Roman" w:eastAsia="黑体"/>
        <w:b w:val="0"/>
        <w:i w:val="0"/>
        <w:sz w:val="21"/>
      </w:rPr>
    </w:lvl>
    <w:lvl w:ilvl="4" w:tentative="0">
      <w:start w:val="1"/>
      <w:numFmt w:val="decimal"/>
      <w:pStyle w:val="313"/>
      <w:suff w:val="nothing"/>
      <w:lvlText w:val="%1.%2.%3.%4.%5　"/>
      <w:lvlJc w:val="left"/>
      <w:pPr>
        <w:ind w:left="710" w:firstLine="0"/>
      </w:pPr>
      <w:rPr>
        <w:rFonts w:hint="eastAsia" w:ascii="黑体" w:hAnsi="Times New Roman" w:eastAsia="黑体"/>
        <w:b w:val="0"/>
        <w:i w:val="0"/>
        <w:sz w:val="21"/>
      </w:rPr>
    </w:lvl>
    <w:lvl w:ilvl="5" w:tentative="0">
      <w:start w:val="1"/>
      <w:numFmt w:val="decimal"/>
      <w:pStyle w:val="3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0483416"/>
    <w:multiLevelType w:val="multilevel"/>
    <w:tmpl w:val="20483416"/>
    <w:lvl w:ilvl="0" w:tentative="0">
      <w:start w:val="1"/>
      <w:numFmt w:val="bullet"/>
      <w:pStyle w:val="26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217E1CC8"/>
    <w:multiLevelType w:val="multilevel"/>
    <w:tmpl w:val="217E1CC8"/>
    <w:lvl w:ilvl="0" w:tentative="0">
      <w:start w:val="1"/>
      <w:numFmt w:val="decimal"/>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pStyle w:val="575"/>
      <w:lvlText w:val="%8)"/>
      <w:lvlJc w:val="left"/>
      <w:pPr>
        <w:ind w:left="3570" w:hanging="420"/>
      </w:pPr>
    </w:lvl>
    <w:lvl w:ilvl="8" w:tentative="0">
      <w:start w:val="1"/>
      <w:numFmt w:val="lowerRoman"/>
      <w:lvlText w:val="%9."/>
      <w:lvlJc w:val="right"/>
      <w:pPr>
        <w:ind w:left="3990" w:hanging="420"/>
      </w:pPr>
    </w:lvl>
  </w:abstractNum>
  <w:abstractNum w:abstractNumId="10">
    <w:nsid w:val="4E7107F0"/>
    <w:multiLevelType w:val="multilevel"/>
    <w:tmpl w:val="4E7107F0"/>
    <w:lvl w:ilvl="0" w:tentative="0">
      <w:start w:val="1"/>
      <w:numFmt w:val="bullet"/>
      <w:pStyle w:val="64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1">
    <w:nsid w:val="557C2AF5"/>
    <w:multiLevelType w:val="multilevel"/>
    <w:tmpl w:val="557C2AF5"/>
    <w:lvl w:ilvl="0" w:tentative="0">
      <w:start w:val="1"/>
      <w:numFmt w:val="decimal"/>
      <w:pStyle w:val="164"/>
      <w:suff w:val="nothing"/>
      <w:lvlText w:val="图%1　"/>
      <w:lvlJc w:val="left"/>
      <w:pPr>
        <w:ind w:left="414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6318D52"/>
    <w:multiLevelType w:val="singleLevel"/>
    <w:tmpl w:val="56318D52"/>
    <w:lvl w:ilvl="0" w:tentative="0">
      <w:start w:val="4"/>
      <w:numFmt w:val="decimal"/>
      <w:suff w:val="nothing"/>
      <w:lvlText w:val="%1、"/>
      <w:lvlJc w:val="left"/>
      <w:pPr>
        <w:ind w:left="0" w:firstLine="0"/>
      </w:pPr>
    </w:lvl>
  </w:abstractNum>
  <w:abstractNum w:abstractNumId="13">
    <w:nsid w:val="56F95253"/>
    <w:multiLevelType w:val="multilevel"/>
    <w:tmpl w:val="56F95253"/>
    <w:lvl w:ilvl="0" w:tentative="0">
      <w:start w:val="1"/>
      <w:numFmt w:val="bullet"/>
      <w:pStyle w:val="557"/>
      <w:lvlText w:val=""/>
      <w:lvlJc w:val="left"/>
      <w:pPr>
        <w:ind w:left="1299" w:hanging="420"/>
      </w:pPr>
      <w:rPr>
        <w:rFonts w:hint="default" w:ascii="Wingdings" w:hAnsi="Wingdings"/>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14">
    <w:nsid w:val="67422D24"/>
    <w:multiLevelType w:val="multilevel"/>
    <w:tmpl w:val="67422D24"/>
    <w:lvl w:ilvl="0" w:tentative="0">
      <w:start w:val="0"/>
      <w:numFmt w:val="decimal"/>
      <w:pStyle w:val="56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55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B65520F"/>
    <w:multiLevelType w:val="multilevel"/>
    <w:tmpl w:val="6B65520F"/>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pStyle w:val="640"/>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BC35C58"/>
    <w:multiLevelType w:val="multilevel"/>
    <w:tmpl w:val="6BC35C58"/>
    <w:lvl w:ilvl="0" w:tentative="0">
      <w:start w:val="1"/>
      <w:numFmt w:val="chineseCountingThousand"/>
      <w:suff w:val="nothing"/>
      <w:lvlText w:val="%1、"/>
      <w:lvlJc w:val="left"/>
      <w:pPr>
        <w:ind w:left="885" w:hanging="88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2"/>
      <w:numFmt w:val="decimal"/>
      <w:isLgl/>
      <w:suff w:val="space"/>
      <w:lvlText w:val="%1.%2"/>
      <w:lvlJc w:val="left"/>
      <w:pPr>
        <w:ind w:left="142" w:hanging="142"/>
      </w:pPr>
      <w:rPr>
        <w:rFonts w:hint="default" w:ascii="Times New Roman" w:hAnsi="Times New Roman" w:eastAsia="黑体"/>
        <w:b/>
        <w:i w:val="0"/>
        <w:sz w:val="28"/>
        <w:szCs w:val="28"/>
      </w:rPr>
    </w:lvl>
    <w:lvl w:ilvl="2" w:tentative="0">
      <w:start w:val="1"/>
      <w:numFmt w:val="decimal"/>
      <w:isLgl/>
      <w:suff w:val="space"/>
      <w:lvlText w:val="%1.%2.%3"/>
      <w:lvlJc w:val="left"/>
      <w:pPr>
        <w:ind w:left="1958" w:hanging="1958"/>
      </w:pPr>
      <w:rPr>
        <w:rFonts w:hint="eastAsia"/>
      </w:rPr>
    </w:lvl>
    <w:lvl w:ilvl="3" w:tentative="0">
      <w:start w:val="1"/>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1"/>
      <w:numFmt w:val="decimal"/>
      <w:lvlRestart w:val="1"/>
      <w:pStyle w:val="179"/>
      <w:isLgl/>
      <w:lvlText w:val="表%1.%8"/>
      <w:lvlJc w:val="left"/>
      <w:pPr>
        <w:tabs>
          <w:tab w:val="left" w:pos="4755"/>
        </w:tabs>
        <w:ind w:left="4395" w:firstLine="0"/>
      </w:pPr>
      <w:rPr>
        <w:rFonts w:hint="eastAsia"/>
      </w:rPr>
    </w:lvl>
    <w:lvl w:ilvl="8" w:tentative="0">
      <w:start w:val="1"/>
      <w:numFmt w:val="decimal"/>
      <w:lvlRestart w:val="1"/>
      <w:pStyle w:val="160"/>
      <w:isLgl/>
      <w:lvlText w:val="图%1.%9"/>
      <w:lvlJc w:val="left"/>
      <w:pPr>
        <w:tabs>
          <w:tab w:val="left" w:pos="360"/>
        </w:tabs>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abstractNum>
  <w:abstractNum w:abstractNumId="17">
    <w:nsid w:val="6CEA2025"/>
    <w:multiLevelType w:val="multilevel"/>
    <w:tmpl w:val="6CEA2025"/>
    <w:lvl w:ilvl="0" w:tentative="0">
      <w:start w:val="0"/>
      <w:numFmt w:val="decimal"/>
      <w:lvlText w:val=""/>
      <w:lvlJc w:val="left"/>
    </w:lvl>
    <w:lvl w:ilvl="1" w:tentative="0">
      <w:start w:val="0"/>
      <w:numFmt w:val="decimal"/>
      <w:pStyle w:val="268"/>
      <w:lvlText w:val=""/>
      <w:lvlJc w:val="left"/>
    </w:lvl>
    <w:lvl w:ilvl="2" w:tentative="0">
      <w:start w:val="0"/>
      <w:numFmt w:val="decimal"/>
      <w:pStyle w:val="398"/>
      <w:lvlText w:val=""/>
      <w:lvlJc w:val="left"/>
    </w:lvl>
    <w:lvl w:ilvl="3" w:tentative="0">
      <w:start w:val="0"/>
      <w:numFmt w:val="decimal"/>
      <w:pStyle w:val="428"/>
      <w:lvlText w:val=""/>
      <w:lvlJc w:val="left"/>
    </w:lvl>
    <w:lvl w:ilvl="4" w:tentative="0">
      <w:start w:val="0"/>
      <w:numFmt w:val="decimal"/>
      <w:pStyle w:val="451"/>
      <w:lvlText w:val=""/>
      <w:lvlJc w:val="left"/>
    </w:lvl>
    <w:lvl w:ilvl="5" w:tentative="0">
      <w:start w:val="0"/>
      <w:numFmt w:val="decimal"/>
      <w:pStyle w:val="627"/>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EA33FEF"/>
    <w:multiLevelType w:val="multilevel"/>
    <w:tmpl w:val="6EA33FEF"/>
    <w:lvl w:ilvl="0" w:tentative="0">
      <w:start w:val="1"/>
      <w:numFmt w:val="decimal"/>
      <w:pStyle w:val="531"/>
      <w:lvlText w:val="%1."/>
      <w:lvlJc w:val="left"/>
      <w:pPr>
        <w:ind w:left="0" w:firstLine="0"/>
      </w:pPr>
      <w:rPr>
        <w:rFonts w:hint="eastAsia"/>
        <w:color w:val="auto"/>
        <w:sz w:val="32"/>
        <w:szCs w:val="32"/>
        <w:u w:val="none"/>
      </w:rPr>
    </w:lvl>
    <w:lvl w:ilvl="1" w:tentative="0">
      <w:start w:val="1"/>
      <w:numFmt w:val="decimal"/>
      <w:suff w:val="space"/>
      <w:lvlText w:val="%1.%2"/>
      <w:lvlJc w:val="left"/>
      <w:pPr>
        <w:ind w:left="0" w:firstLine="0"/>
      </w:pPr>
      <w:rPr>
        <w:rFonts w:hint="default" w:ascii="Arial" w:hAnsi="Arial" w:eastAsia="黑体"/>
        <w:color w:val="auto"/>
        <w:sz w:val="28"/>
        <w:szCs w:val="28"/>
        <w:u w:val="none"/>
      </w:rPr>
    </w:lvl>
    <w:lvl w:ilvl="2" w:tentative="0">
      <w:start w:val="1"/>
      <w:numFmt w:val="decimal"/>
      <w:suff w:val="space"/>
      <w:lvlText w:val="%1.%2.%3"/>
      <w:lvlJc w:val="left"/>
      <w:pPr>
        <w:ind w:left="0" w:firstLine="0"/>
      </w:pPr>
      <w:rPr>
        <w:rFonts w:hint="default" w:ascii="Arial" w:hAnsi="Arial" w:eastAsia="黑体"/>
        <w:b/>
        <w:sz w:val="24"/>
        <w:szCs w:val="24"/>
        <w:u w:val="none"/>
      </w:rPr>
    </w:lvl>
    <w:lvl w:ilvl="3" w:tentative="0">
      <w:start w:val="1"/>
      <w:numFmt w:val="decimal"/>
      <w:lvlText w:val="7.2.1.8.%4"/>
      <w:lvlJc w:val="left"/>
      <w:pPr>
        <w:ind w:left="0" w:firstLine="0"/>
      </w:pPr>
      <w:rPr>
        <w:rFonts w:hint="eastAsia"/>
        <w:b/>
        <w:color w:val="auto"/>
        <w:sz w:val="24"/>
        <w:szCs w:val="24"/>
        <w:u w:val="none"/>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9">
    <w:nsid w:val="730B5059"/>
    <w:multiLevelType w:val="multilevel"/>
    <w:tmpl w:val="730B5059"/>
    <w:lvl w:ilvl="0" w:tentative="0">
      <w:start w:val="0"/>
      <w:numFmt w:val="decimal"/>
      <w:pStyle w:val="45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74053CD7"/>
    <w:multiLevelType w:val="multilevel"/>
    <w:tmpl w:val="74053CD7"/>
    <w:lvl w:ilvl="0" w:tentative="0">
      <w:start w:val="1"/>
      <w:numFmt w:val="decimal"/>
      <w:pStyle w:val="643"/>
      <w:isLgl/>
      <w:lvlText w:val="%1、"/>
      <w:lvlJc w:val="left"/>
      <w:pPr>
        <w:tabs>
          <w:tab w:val="left" w:pos="425"/>
        </w:tabs>
        <w:ind w:left="425" w:hanging="425"/>
      </w:pPr>
      <w:rPr>
        <w:rFonts w:hint="eastAsia"/>
      </w:rPr>
    </w:lvl>
    <w:lvl w:ilvl="1" w:tentative="0">
      <w:start w:val="1"/>
      <w:numFmt w:val="decimal"/>
      <w:pStyle w:val="545"/>
      <w:lvlText w:val="%1.%2"/>
      <w:lvlJc w:val="left"/>
      <w:pPr>
        <w:tabs>
          <w:tab w:val="left" w:pos="1145"/>
        </w:tabs>
        <w:ind w:left="992" w:hanging="567"/>
      </w:pPr>
      <w:rPr>
        <w:rFonts w:hint="eastAsia"/>
      </w:rPr>
    </w:lvl>
    <w:lvl w:ilvl="2" w:tentative="0">
      <w:start w:val="1"/>
      <w:numFmt w:val="decimal"/>
      <w:pStyle w:val="623"/>
      <w:lvlText w:val="%1.%2.%3"/>
      <w:lvlJc w:val="left"/>
      <w:pPr>
        <w:tabs>
          <w:tab w:val="left" w:pos="2291"/>
        </w:tabs>
        <w:ind w:left="1418" w:hanging="567"/>
      </w:pPr>
      <w:rPr>
        <w:rFonts w:hint="eastAsia"/>
      </w:rPr>
    </w:lvl>
    <w:lvl w:ilvl="3" w:tentative="0">
      <w:start w:val="1"/>
      <w:numFmt w:val="decimal"/>
      <w:pStyle w:val="265"/>
      <w:lvlText w:val="%1.%2.%3.%4"/>
      <w:lvlJc w:val="left"/>
      <w:pPr>
        <w:tabs>
          <w:tab w:val="left" w:pos="3076"/>
        </w:tabs>
        <w:ind w:left="1984" w:hanging="708"/>
      </w:pPr>
      <w:rPr>
        <w:rFonts w:hint="eastAsia"/>
      </w:rPr>
    </w:lvl>
    <w:lvl w:ilvl="4" w:tentative="0">
      <w:start w:val="1"/>
      <w:numFmt w:val="decimal"/>
      <w:pStyle w:val="264"/>
      <w:lvlText w:val="%1.%2.%3.%4.%5"/>
      <w:lvlJc w:val="left"/>
      <w:pPr>
        <w:tabs>
          <w:tab w:val="left" w:pos="3861"/>
        </w:tabs>
        <w:ind w:left="2551" w:hanging="850"/>
      </w:pPr>
      <w:rPr>
        <w:rFonts w:hint="eastAsia"/>
      </w:rPr>
    </w:lvl>
    <w:lvl w:ilvl="5" w:tentative="0">
      <w:start w:val="1"/>
      <w:numFmt w:val="decimal"/>
      <w:pStyle w:val="628"/>
      <w:lvlText w:val="%1.%2.%3.%4.%5.%6"/>
      <w:lvlJc w:val="left"/>
      <w:pPr>
        <w:tabs>
          <w:tab w:val="left" w:pos="4646"/>
        </w:tabs>
        <w:ind w:left="3260" w:hanging="1134"/>
      </w:pPr>
      <w:rPr>
        <w:rFonts w:hint="eastAsia"/>
      </w:rPr>
    </w:lvl>
    <w:lvl w:ilvl="6" w:tentative="0">
      <w:start w:val="1"/>
      <w:numFmt w:val="decimal"/>
      <w:pStyle w:val="609"/>
      <w:lvlText w:val="%1.%2.%3.%4.%5.%6.%7"/>
      <w:lvlJc w:val="left"/>
      <w:pPr>
        <w:tabs>
          <w:tab w:val="left" w:pos="5791"/>
        </w:tabs>
        <w:ind w:left="3827" w:hanging="1276"/>
      </w:pPr>
      <w:rPr>
        <w:rFonts w:hint="eastAsia"/>
      </w:rPr>
    </w:lvl>
    <w:lvl w:ilvl="7" w:tentative="0">
      <w:start w:val="1"/>
      <w:numFmt w:val="decimal"/>
      <w:lvlText w:val="%1.%2.%3.%4.%5.%6.%7.%8"/>
      <w:lvlJc w:val="left"/>
      <w:pPr>
        <w:tabs>
          <w:tab w:val="left" w:pos="6576"/>
        </w:tabs>
        <w:ind w:left="4394" w:hanging="1418"/>
      </w:pPr>
      <w:rPr>
        <w:rFonts w:hint="eastAsia"/>
      </w:rPr>
    </w:lvl>
    <w:lvl w:ilvl="8" w:tentative="0">
      <w:start w:val="1"/>
      <w:numFmt w:val="decimal"/>
      <w:lvlText w:val="%1.%2.%3.%4.%5.%6.%7.%8.%9"/>
      <w:lvlJc w:val="left"/>
      <w:pPr>
        <w:tabs>
          <w:tab w:val="left" w:pos="7362"/>
        </w:tabs>
        <w:ind w:left="5102" w:hanging="1700"/>
      </w:pPr>
      <w:rPr>
        <w:rFonts w:hint="eastAsia"/>
      </w:rPr>
    </w:lvl>
  </w:abstractNum>
  <w:num w:numId="1">
    <w:abstractNumId w:val="16"/>
  </w:num>
  <w:num w:numId="2">
    <w:abstractNumId w:val="11"/>
  </w:num>
  <w:num w:numId="3">
    <w:abstractNumId w:val="20"/>
  </w:num>
  <w:num w:numId="4">
    <w:abstractNumId w:val="17"/>
  </w:num>
  <w:num w:numId="5">
    <w:abstractNumId w:val="8"/>
  </w:num>
  <w:num w:numId="6">
    <w:abstractNumId w:val="7"/>
  </w:num>
  <w:num w:numId="7">
    <w:abstractNumId w:val="0"/>
  </w:num>
  <w:num w:numId="8">
    <w:abstractNumId w:val="19"/>
  </w:num>
  <w:num w:numId="9">
    <w:abstractNumId w:val="6"/>
  </w:num>
  <w:num w:numId="10">
    <w:abstractNumId w:val="1"/>
  </w:num>
  <w:num w:numId="11">
    <w:abstractNumId w:val="18"/>
  </w:num>
  <w:num w:numId="12">
    <w:abstractNumId w:val="13"/>
  </w:num>
  <w:num w:numId="13">
    <w:abstractNumId w:val="14"/>
  </w:num>
  <w:num w:numId="14">
    <w:abstractNumId w:val="3"/>
  </w:num>
  <w:num w:numId="15">
    <w:abstractNumId w:val="9"/>
  </w:num>
  <w:num w:numId="16">
    <w:abstractNumId w:val="2"/>
  </w:num>
  <w:num w:numId="17">
    <w:abstractNumId w:val="5"/>
  </w:num>
  <w:num w:numId="18">
    <w:abstractNumId w:val="4"/>
  </w:num>
  <w:num w:numId="19">
    <w:abstractNumId w:val="15"/>
  </w:num>
  <w:num w:numId="20">
    <w:abstractNumId w:val="10"/>
  </w:num>
  <w:num w:numId="21">
    <w:abstractNumId w:val="1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6D5A"/>
    <w:rsid w:val="000025EC"/>
    <w:rsid w:val="000030BD"/>
    <w:rsid w:val="0000363A"/>
    <w:rsid w:val="0000445C"/>
    <w:rsid w:val="000053FC"/>
    <w:rsid w:val="00007AD0"/>
    <w:rsid w:val="000116FF"/>
    <w:rsid w:val="0001420D"/>
    <w:rsid w:val="000142CF"/>
    <w:rsid w:val="00014629"/>
    <w:rsid w:val="000156E2"/>
    <w:rsid w:val="000161FD"/>
    <w:rsid w:val="00021537"/>
    <w:rsid w:val="0002198B"/>
    <w:rsid w:val="00022CB7"/>
    <w:rsid w:val="00024344"/>
    <w:rsid w:val="00024763"/>
    <w:rsid w:val="00024804"/>
    <w:rsid w:val="00024847"/>
    <w:rsid w:val="00025986"/>
    <w:rsid w:val="00025FFD"/>
    <w:rsid w:val="00026B4C"/>
    <w:rsid w:val="00026FD7"/>
    <w:rsid w:val="00027406"/>
    <w:rsid w:val="00027625"/>
    <w:rsid w:val="0002779F"/>
    <w:rsid w:val="000277BE"/>
    <w:rsid w:val="00027D5B"/>
    <w:rsid w:val="0003012D"/>
    <w:rsid w:val="000313EC"/>
    <w:rsid w:val="000327C8"/>
    <w:rsid w:val="00032FA8"/>
    <w:rsid w:val="00034503"/>
    <w:rsid w:val="00034641"/>
    <w:rsid w:val="00035612"/>
    <w:rsid w:val="00036468"/>
    <w:rsid w:val="00036C4D"/>
    <w:rsid w:val="00037E98"/>
    <w:rsid w:val="00040690"/>
    <w:rsid w:val="00040D86"/>
    <w:rsid w:val="00045140"/>
    <w:rsid w:val="00045B4D"/>
    <w:rsid w:val="00046A06"/>
    <w:rsid w:val="00050C46"/>
    <w:rsid w:val="00051E2A"/>
    <w:rsid w:val="00053DE3"/>
    <w:rsid w:val="0005418E"/>
    <w:rsid w:val="00063AEF"/>
    <w:rsid w:val="00063F02"/>
    <w:rsid w:val="000640EC"/>
    <w:rsid w:val="000641A5"/>
    <w:rsid w:val="00065A3A"/>
    <w:rsid w:val="00065E5E"/>
    <w:rsid w:val="00066EAC"/>
    <w:rsid w:val="0006702B"/>
    <w:rsid w:val="000704F0"/>
    <w:rsid w:val="00073DDA"/>
    <w:rsid w:val="00074C18"/>
    <w:rsid w:val="00075A18"/>
    <w:rsid w:val="00075E1C"/>
    <w:rsid w:val="000761A1"/>
    <w:rsid w:val="00080B94"/>
    <w:rsid w:val="000818D8"/>
    <w:rsid w:val="000825F0"/>
    <w:rsid w:val="00083350"/>
    <w:rsid w:val="000834F7"/>
    <w:rsid w:val="00086A97"/>
    <w:rsid w:val="00086AA6"/>
    <w:rsid w:val="00086FA2"/>
    <w:rsid w:val="00090B59"/>
    <w:rsid w:val="00091518"/>
    <w:rsid w:val="00091A19"/>
    <w:rsid w:val="000930E1"/>
    <w:rsid w:val="000938C1"/>
    <w:rsid w:val="00094CE6"/>
    <w:rsid w:val="000952E7"/>
    <w:rsid w:val="000978B1"/>
    <w:rsid w:val="000A2941"/>
    <w:rsid w:val="000A331B"/>
    <w:rsid w:val="000A3E58"/>
    <w:rsid w:val="000A3EC8"/>
    <w:rsid w:val="000A50A5"/>
    <w:rsid w:val="000A604E"/>
    <w:rsid w:val="000A64E2"/>
    <w:rsid w:val="000B20DC"/>
    <w:rsid w:val="000B2892"/>
    <w:rsid w:val="000B3BC4"/>
    <w:rsid w:val="000B422C"/>
    <w:rsid w:val="000B4E15"/>
    <w:rsid w:val="000B6963"/>
    <w:rsid w:val="000C26F9"/>
    <w:rsid w:val="000C2B71"/>
    <w:rsid w:val="000C3661"/>
    <w:rsid w:val="000C3C84"/>
    <w:rsid w:val="000C4572"/>
    <w:rsid w:val="000C498A"/>
    <w:rsid w:val="000C5109"/>
    <w:rsid w:val="000C5B94"/>
    <w:rsid w:val="000C5BDA"/>
    <w:rsid w:val="000D1791"/>
    <w:rsid w:val="000D1BCE"/>
    <w:rsid w:val="000D2DBA"/>
    <w:rsid w:val="000D390F"/>
    <w:rsid w:val="000D67EC"/>
    <w:rsid w:val="000D69D3"/>
    <w:rsid w:val="000D6F72"/>
    <w:rsid w:val="000D7DE5"/>
    <w:rsid w:val="000E0CDA"/>
    <w:rsid w:val="000E1E33"/>
    <w:rsid w:val="000E430C"/>
    <w:rsid w:val="000E4721"/>
    <w:rsid w:val="000E69B3"/>
    <w:rsid w:val="000E7590"/>
    <w:rsid w:val="000E7AC9"/>
    <w:rsid w:val="000F06E3"/>
    <w:rsid w:val="000F0E26"/>
    <w:rsid w:val="000F0F93"/>
    <w:rsid w:val="000F1FFA"/>
    <w:rsid w:val="000F23B9"/>
    <w:rsid w:val="000F4F91"/>
    <w:rsid w:val="000F5399"/>
    <w:rsid w:val="000F73A2"/>
    <w:rsid w:val="00100878"/>
    <w:rsid w:val="0010166A"/>
    <w:rsid w:val="00101E5D"/>
    <w:rsid w:val="00104566"/>
    <w:rsid w:val="001049C8"/>
    <w:rsid w:val="00106CB3"/>
    <w:rsid w:val="00107232"/>
    <w:rsid w:val="0010739D"/>
    <w:rsid w:val="00107890"/>
    <w:rsid w:val="00111B24"/>
    <w:rsid w:val="0011347A"/>
    <w:rsid w:val="00113A68"/>
    <w:rsid w:val="0011428C"/>
    <w:rsid w:val="0011494C"/>
    <w:rsid w:val="0011497F"/>
    <w:rsid w:val="0011682E"/>
    <w:rsid w:val="00120B1F"/>
    <w:rsid w:val="001256EF"/>
    <w:rsid w:val="00125C99"/>
    <w:rsid w:val="00126999"/>
    <w:rsid w:val="001309B4"/>
    <w:rsid w:val="00130E73"/>
    <w:rsid w:val="0013140C"/>
    <w:rsid w:val="001324C6"/>
    <w:rsid w:val="00133D2E"/>
    <w:rsid w:val="001344E3"/>
    <w:rsid w:val="0013498C"/>
    <w:rsid w:val="001364C1"/>
    <w:rsid w:val="00136B5A"/>
    <w:rsid w:val="001407EB"/>
    <w:rsid w:val="001416D5"/>
    <w:rsid w:val="001430E6"/>
    <w:rsid w:val="001434B8"/>
    <w:rsid w:val="001455D8"/>
    <w:rsid w:val="00147E27"/>
    <w:rsid w:val="00150554"/>
    <w:rsid w:val="001510DE"/>
    <w:rsid w:val="00152706"/>
    <w:rsid w:val="00152933"/>
    <w:rsid w:val="00154ED0"/>
    <w:rsid w:val="001559C1"/>
    <w:rsid w:val="00157165"/>
    <w:rsid w:val="00160437"/>
    <w:rsid w:val="001608D5"/>
    <w:rsid w:val="00161812"/>
    <w:rsid w:val="00164A5C"/>
    <w:rsid w:val="00164B56"/>
    <w:rsid w:val="001652A3"/>
    <w:rsid w:val="00165734"/>
    <w:rsid w:val="001675B1"/>
    <w:rsid w:val="00167D4D"/>
    <w:rsid w:val="00167E36"/>
    <w:rsid w:val="001706F7"/>
    <w:rsid w:val="0017108F"/>
    <w:rsid w:val="0017128A"/>
    <w:rsid w:val="00171C0C"/>
    <w:rsid w:val="00172007"/>
    <w:rsid w:val="00172683"/>
    <w:rsid w:val="00172AC1"/>
    <w:rsid w:val="00174093"/>
    <w:rsid w:val="001741F4"/>
    <w:rsid w:val="00174AD2"/>
    <w:rsid w:val="00174DFF"/>
    <w:rsid w:val="0017639C"/>
    <w:rsid w:val="001765F6"/>
    <w:rsid w:val="001776D4"/>
    <w:rsid w:val="001804EE"/>
    <w:rsid w:val="00181252"/>
    <w:rsid w:val="00182DF4"/>
    <w:rsid w:val="00182E6B"/>
    <w:rsid w:val="00186A8E"/>
    <w:rsid w:val="0018787D"/>
    <w:rsid w:val="00190206"/>
    <w:rsid w:val="00190744"/>
    <w:rsid w:val="00190F87"/>
    <w:rsid w:val="001922C4"/>
    <w:rsid w:val="00194DFC"/>
    <w:rsid w:val="00194E27"/>
    <w:rsid w:val="00194FC1"/>
    <w:rsid w:val="00195B0D"/>
    <w:rsid w:val="00195BB6"/>
    <w:rsid w:val="00197A4D"/>
    <w:rsid w:val="00197DB3"/>
    <w:rsid w:val="001A0051"/>
    <w:rsid w:val="001A0794"/>
    <w:rsid w:val="001A1558"/>
    <w:rsid w:val="001A27C7"/>
    <w:rsid w:val="001A303B"/>
    <w:rsid w:val="001A3490"/>
    <w:rsid w:val="001A786A"/>
    <w:rsid w:val="001B0694"/>
    <w:rsid w:val="001B229F"/>
    <w:rsid w:val="001B350F"/>
    <w:rsid w:val="001B532B"/>
    <w:rsid w:val="001B56C9"/>
    <w:rsid w:val="001B6371"/>
    <w:rsid w:val="001B6E2A"/>
    <w:rsid w:val="001B7369"/>
    <w:rsid w:val="001B7F3D"/>
    <w:rsid w:val="001C02DE"/>
    <w:rsid w:val="001C30E6"/>
    <w:rsid w:val="001C33A4"/>
    <w:rsid w:val="001C52F1"/>
    <w:rsid w:val="001C57A6"/>
    <w:rsid w:val="001C598A"/>
    <w:rsid w:val="001C6863"/>
    <w:rsid w:val="001C69DA"/>
    <w:rsid w:val="001C6B64"/>
    <w:rsid w:val="001C6BB6"/>
    <w:rsid w:val="001C7DB0"/>
    <w:rsid w:val="001C7EEC"/>
    <w:rsid w:val="001D0265"/>
    <w:rsid w:val="001D1504"/>
    <w:rsid w:val="001D22D5"/>
    <w:rsid w:val="001D23F4"/>
    <w:rsid w:val="001D350F"/>
    <w:rsid w:val="001D3BD8"/>
    <w:rsid w:val="001D3F18"/>
    <w:rsid w:val="001D6192"/>
    <w:rsid w:val="001E0006"/>
    <w:rsid w:val="001E053B"/>
    <w:rsid w:val="001E0AF2"/>
    <w:rsid w:val="001E11A9"/>
    <w:rsid w:val="001E1DB9"/>
    <w:rsid w:val="001E2D1F"/>
    <w:rsid w:val="001E3984"/>
    <w:rsid w:val="001E69DB"/>
    <w:rsid w:val="001F0035"/>
    <w:rsid w:val="001F1EF7"/>
    <w:rsid w:val="001F3061"/>
    <w:rsid w:val="001F3B0A"/>
    <w:rsid w:val="001F4A39"/>
    <w:rsid w:val="001F5B9E"/>
    <w:rsid w:val="001F715A"/>
    <w:rsid w:val="001F7380"/>
    <w:rsid w:val="001F7E23"/>
    <w:rsid w:val="00200EA4"/>
    <w:rsid w:val="0020119C"/>
    <w:rsid w:val="00201480"/>
    <w:rsid w:val="002037B4"/>
    <w:rsid w:val="002037DB"/>
    <w:rsid w:val="00205190"/>
    <w:rsid w:val="002057D6"/>
    <w:rsid w:val="00206555"/>
    <w:rsid w:val="00206968"/>
    <w:rsid w:val="00206FCE"/>
    <w:rsid w:val="00207162"/>
    <w:rsid w:val="0021063F"/>
    <w:rsid w:val="00211C0E"/>
    <w:rsid w:val="00212628"/>
    <w:rsid w:val="002131F5"/>
    <w:rsid w:val="002140AF"/>
    <w:rsid w:val="00216737"/>
    <w:rsid w:val="0021675C"/>
    <w:rsid w:val="00217708"/>
    <w:rsid w:val="0022043D"/>
    <w:rsid w:val="00221446"/>
    <w:rsid w:val="00221450"/>
    <w:rsid w:val="002223E0"/>
    <w:rsid w:val="00223AAF"/>
    <w:rsid w:val="00223B64"/>
    <w:rsid w:val="00223C22"/>
    <w:rsid w:val="00224CFD"/>
    <w:rsid w:val="00225322"/>
    <w:rsid w:val="00226977"/>
    <w:rsid w:val="002270C6"/>
    <w:rsid w:val="00230283"/>
    <w:rsid w:val="002308C4"/>
    <w:rsid w:val="00233FE6"/>
    <w:rsid w:val="00234257"/>
    <w:rsid w:val="0023455F"/>
    <w:rsid w:val="00234AB1"/>
    <w:rsid w:val="00234E98"/>
    <w:rsid w:val="002355BB"/>
    <w:rsid w:val="002357AB"/>
    <w:rsid w:val="00237B5D"/>
    <w:rsid w:val="002403D6"/>
    <w:rsid w:val="0024085A"/>
    <w:rsid w:val="00242EFF"/>
    <w:rsid w:val="00243709"/>
    <w:rsid w:val="00245A92"/>
    <w:rsid w:val="002502DD"/>
    <w:rsid w:val="00250313"/>
    <w:rsid w:val="00250350"/>
    <w:rsid w:val="002551D9"/>
    <w:rsid w:val="0025590C"/>
    <w:rsid w:val="00257297"/>
    <w:rsid w:val="002616FF"/>
    <w:rsid w:val="00261709"/>
    <w:rsid w:val="0026181E"/>
    <w:rsid w:val="00261AB0"/>
    <w:rsid w:val="00262A37"/>
    <w:rsid w:val="00263BE2"/>
    <w:rsid w:val="00266ADD"/>
    <w:rsid w:val="00266D21"/>
    <w:rsid w:val="00266E91"/>
    <w:rsid w:val="00267E26"/>
    <w:rsid w:val="00270BCD"/>
    <w:rsid w:val="00270F0B"/>
    <w:rsid w:val="002721A8"/>
    <w:rsid w:val="00276F32"/>
    <w:rsid w:val="002772AF"/>
    <w:rsid w:val="00280825"/>
    <w:rsid w:val="00281493"/>
    <w:rsid w:val="00281F50"/>
    <w:rsid w:val="002821BF"/>
    <w:rsid w:val="00283FE6"/>
    <w:rsid w:val="00284F5B"/>
    <w:rsid w:val="00285058"/>
    <w:rsid w:val="0028525A"/>
    <w:rsid w:val="00285665"/>
    <w:rsid w:val="002859F6"/>
    <w:rsid w:val="00286A77"/>
    <w:rsid w:val="00286C00"/>
    <w:rsid w:val="00290F35"/>
    <w:rsid w:val="00291735"/>
    <w:rsid w:val="00291C33"/>
    <w:rsid w:val="00292775"/>
    <w:rsid w:val="002942E2"/>
    <w:rsid w:val="00295B99"/>
    <w:rsid w:val="00295E49"/>
    <w:rsid w:val="00295FB9"/>
    <w:rsid w:val="00297CB8"/>
    <w:rsid w:val="002A019C"/>
    <w:rsid w:val="002A03CB"/>
    <w:rsid w:val="002A08FC"/>
    <w:rsid w:val="002A0FCE"/>
    <w:rsid w:val="002A1128"/>
    <w:rsid w:val="002A20D2"/>
    <w:rsid w:val="002A25B9"/>
    <w:rsid w:val="002A2D34"/>
    <w:rsid w:val="002A41F5"/>
    <w:rsid w:val="002A4F24"/>
    <w:rsid w:val="002A4F66"/>
    <w:rsid w:val="002A5BF6"/>
    <w:rsid w:val="002A6ED0"/>
    <w:rsid w:val="002B0E41"/>
    <w:rsid w:val="002B30B8"/>
    <w:rsid w:val="002B4521"/>
    <w:rsid w:val="002B548B"/>
    <w:rsid w:val="002B5C9A"/>
    <w:rsid w:val="002B5F66"/>
    <w:rsid w:val="002B69EB"/>
    <w:rsid w:val="002B7325"/>
    <w:rsid w:val="002B76F4"/>
    <w:rsid w:val="002C1FAE"/>
    <w:rsid w:val="002C22A7"/>
    <w:rsid w:val="002C2732"/>
    <w:rsid w:val="002C2C09"/>
    <w:rsid w:val="002C3C1D"/>
    <w:rsid w:val="002C5591"/>
    <w:rsid w:val="002C6568"/>
    <w:rsid w:val="002C6BE1"/>
    <w:rsid w:val="002D0B4B"/>
    <w:rsid w:val="002D0D4F"/>
    <w:rsid w:val="002D34A5"/>
    <w:rsid w:val="002D35D4"/>
    <w:rsid w:val="002D3C6A"/>
    <w:rsid w:val="002D54FC"/>
    <w:rsid w:val="002D5F81"/>
    <w:rsid w:val="002D6375"/>
    <w:rsid w:val="002D7638"/>
    <w:rsid w:val="002E08D6"/>
    <w:rsid w:val="002E2AB7"/>
    <w:rsid w:val="002E2BB7"/>
    <w:rsid w:val="002E356B"/>
    <w:rsid w:val="002E463C"/>
    <w:rsid w:val="002E48F7"/>
    <w:rsid w:val="002E5003"/>
    <w:rsid w:val="002E594B"/>
    <w:rsid w:val="002E6042"/>
    <w:rsid w:val="002E6957"/>
    <w:rsid w:val="002F0462"/>
    <w:rsid w:val="002F0EFC"/>
    <w:rsid w:val="002F1A63"/>
    <w:rsid w:val="002F27C0"/>
    <w:rsid w:val="002F29D2"/>
    <w:rsid w:val="002F42D5"/>
    <w:rsid w:val="002F6351"/>
    <w:rsid w:val="003000EC"/>
    <w:rsid w:val="0030042C"/>
    <w:rsid w:val="003016A7"/>
    <w:rsid w:val="00301B5A"/>
    <w:rsid w:val="00302644"/>
    <w:rsid w:val="0030297D"/>
    <w:rsid w:val="0030710A"/>
    <w:rsid w:val="003072D6"/>
    <w:rsid w:val="0031021B"/>
    <w:rsid w:val="003102A4"/>
    <w:rsid w:val="00311078"/>
    <w:rsid w:val="003136E5"/>
    <w:rsid w:val="00313BC8"/>
    <w:rsid w:val="0031417B"/>
    <w:rsid w:val="003147D0"/>
    <w:rsid w:val="00315C2E"/>
    <w:rsid w:val="003174BF"/>
    <w:rsid w:val="00317CD3"/>
    <w:rsid w:val="003203DB"/>
    <w:rsid w:val="00321C75"/>
    <w:rsid w:val="00321FB6"/>
    <w:rsid w:val="00325D1C"/>
    <w:rsid w:val="0032618D"/>
    <w:rsid w:val="00326CBF"/>
    <w:rsid w:val="00326F86"/>
    <w:rsid w:val="0032764E"/>
    <w:rsid w:val="003303DC"/>
    <w:rsid w:val="00330D74"/>
    <w:rsid w:val="003319DE"/>
    <w:rsid w:val="00331A2E"/>
    <w:rsid w:val="00332937"/>
    <w:rsid w:val="003333D7"/>
    <w:rsid w:val="003335DA"/>
    <w:rsid w:val="00333943"/>
    <w:rsid w:val="003342DE"/>
    <w:rsid w:val="00334CD8"/>
    <w:rsid w:val="003400F5"/>
    <w:rsid w:val="00340105"/>
    <w:rsid w:val="003412D4"/>
    <w:rsid w:val="00342089"/>
    <w:rsid w:val="003431A0"/>
    <w:rsid w:val="0034509C"/>
    <w:rsid w:val="0034572F"/>
    <w:rsid w:val="00345BD9"/>
    <w:rsid w:val="003466D8"/>
    <w:rsid w:val="003469E4"/>
    <w:rsid w:val="00346F6F"/>
    <w:rsid w:val="00347EAD"/>
    <w:rsid w:val="00351263"/>
    <w:rsid w:val="0035131B"/>
    <w:rsid w:val="00351502"/>
    <w:rsid w:val="00352458"/>
    <w:rsid w:val="00352D65"/>
    <w:rsid w:val="0035331E"/>
    <w:rsid w:val="00354D71"/>
    <w:rsid w:val="00357B47"/>
    <w:rsid w:val="00357CF2"/>
    <w:rsid w:val="003600B9"/>
    <w:rsid w:val="00360D36"/>
    <w:rsid w:val="003610D2"/>
    <w:rsid w:val="0036140D"/>
    <w:rsid w:val="00363225"/>
    <w:rsid w:val="00364916"/>
    <w:rsid w:val="0037058A"/>
    <w:rsid w:val="00370BB7"/>
    <w:rsid w:val="00374E53"/>
    <w:rsid w:val="00375A5D"/>
    <w:rsid w:val="00375A9C"/>
    <w:rsid w:val="00376191"/>
    <w:rsid w:val="0037666E"/>
    <w:rsid w:val="00376F72"/>
    <w:rsid w:val="003771C5"/>
    <w:rsid w:val="00377C53"/>
    <w:rsid w:val="00380C66"/>
    <w:rsid w:val="003810AC"/>
    <w:rsid w:val="003812D6"/>
    <w:rsid w:val="00381AB7"/>
    <w:rsid w:val="0038557A"/>
    <w:rsid w:val="003872C4"/>
    <w:rsid w:val="00387915"/>
    <w:rsid w:val="00391032"/>
    <w:rsid w:val="003914B4"/>
    <w:rsid w:val="00391786"/>
    <w:rsid w:val="00391A73"/>
    <w:rsid w:val="003948FD"/>
    <w:rsid w:val="00396428"/>
    <w:rsid w:val="00396C69"/>
    <w:rsid w:val="00396F97"/>
    <w:rsid w:val="003A059D"/>
    <w:rsid w:val="003A0B5B"/>
    <w:rsid w:val="003A2FA1"/>
    <w:rsid w:val="003A3FCA"/>
    <w:rsid w:val="003A4335"/>
    <w:rsid w:val="003A4B04"/>
    <w:rsid w:val="003A4D78"/>
    <w:rsid w:val="003A5AD7"/>
    <w:rsid w:val="003A6117"/>
    <w:rsid w:val="003B0AFE"/>
    <w:rsid w:val="003B1744"/>
    <w:rsid w:val="003B4026"/>
    <w:rsid w:val="003B44D9"/>
    <w:rsid w:val="003B4DF4"/>
    <w:rsid w:val="003B5B55"/>
    <w:rsid w:val="003B6A76"/>
    <w:rsid w:val="003B6DE2"/>
    <w:rsid w:val="003B780B"/>
    <w:rsid w:val="003B7CB8"/>
    <w:rsid w:val="003C1D20"/>
    <w:rsid w:val="003C25CA"/>
    <w:rsid w:val="003C3A5C"/>
    <w:rsid w:val="003C3EAB"/>
    <w:rsid w:val="003C580A"/>
    <w:rsid w:val="003C6100"/>
    <w:rsid w:val="003C6D94"/>
    <w:rsid w:val="003C7959"/>
    <w:rsid w:val="003D1521"/>
    <w:rsid w:val="003D1DC0"/>
    <w:rsid w:val="003D2C6D"/>
    <w:rsid w:val="003D33D5"/>
    <w:rsid w:val="003D4196"/>
    <w:rsid w:val="003D5C3A"/>
    <w:rsid w:val="003E08C5"/>
    <w:rsid w:val="003E18E1"/>
    <w:rsid w:val="003E1EFA"/>
    <w:rsid w:val="003E2A8B"/>
    <w:rsid w:val="003E4E69"/>
    <w:rsid w:val="003E4FD2"/>
    <w:rsid w:val="003E5EDC"/>
    <w:rsid w:val="003E61DA"/>
    <w:rsid w:val="003E7B33"/>
    <w:rsid w:val="003E7BA5"/>
    <w:rsid w:val="003E7C49"/>
    <w:rsid w:val="003F472F"/>
    <w:rsid w:val="003F4843"/>
    <w:rsid w:val="003F4E1C"/>
    <w:rsid w:val="003F7D02"/>
    <w:rsid w:val="003F7FE4"/>
    <w:rsid w:val="00401553"/>
    <w:rsid w:val="0040260F"/>
    <w:rsid w:val="00404F55"/>
    <w:rsid w:val="00407C2E"/>
    <w:rsid w:val="00410033"/>
    <w:rsid w:val="0041158C"/>
    <w:rsid w:val="004117F0"/>
    <w:rsid w:val="00411C9F"/>
    <w:rsid w:val="00412717"/>
    <w:rsid w:val="00415442"/>
    <w:rsid w:val="00416B57"/>
    <w:rsid w:val="00416BBF"/>
    <w:rsid w:val="00417196"/>
    <w:rsid w:val="004213C6"/>
    <w:rsid w:val="00422662"/>
    <w:rsid w:val="00424EFE"/>
    <w:rsid w:val="004253C5"/>
    <w:rsid w:val="00425647"/>
    <w:rsid w:val="00425DC0"/>
    <w:rsid w:val="004264BC"/>
    <w:rsid w:val="00427293"/>
    <w:rsid w:val="00430191"/>
    <w:rsid w:val="004310C5"/>
    <w:rsid w:val="0043145D"/>
    <w:rsid w:val="00431725"/>
    <w:rsid w:val="004323CA"/>
    <w:rsid w:val="00432850"/>
    <w:rsid w:val="004328BF"/>
    <w:rsid w:val="004332E4"/>
    <w:rsid w:val="00433D2F"/>
    <w:rsid w:val="00434202"/>
    <w:rsid w:val="004348E5"/>
    <w:rsid w:val="00437214"/>
    <w:rsid w:val="00437AB6"/>
    <w:rsid w:val="004409B2"/>
    <w:rsid w:val="00440B24"/>
    <w:rsid w:val="00441209"/>
    <w:rsid w:val="0044214B"/>
    <w:rsid w:val="004421C8"/>
    <w:rsid w:val="00442A7B"/>
    <w:rsid w:val="004440FD"/>
    <w:rsid w:val="0044435F"/>
    <w:rsid w:val="004459EA"/>
    <w:rsid w:val="004473BE"/>
    <w:rsid w:val="00447AAD"/>
    <w:rsid w:val="0045451C"/>
    <w:rsid w:val="004558F2"/>
    <w:rsid w:val="00456219"/>
    <w:rsid w:val="004602DF"/>
    <w:rsid w:val="00461769"/>
    <w:rsid w:val="00462740"/>
    <w:rsid w:val="004652FB"/>
    <w:rsid w:val="004656FB"/>
    <w:rsid w:val="004663FD"/>
    <w:rsid w:val="00466AC7"/>
    <w:rsid w:val="004716BA"/>
    <w:rsid w:val="0047174A"/>
    <w:rsid w:val="00471B84"/>
    <w:rsid w:val="004758C3"/>
    <w:rsid w:val="0048073B"/>
    <w:rsid w:val="00480DA5"/>
    <w:rsid w:val="004836CC"/>
    <w:rsid w:val="00483D0A"/>
    <w:rsid w:val="004858FC"/>
    <w:rsid w:val="00485D13"/>
    <w:rsid w:val="0048677F"/>
    <w:rsid w:val="0049089E"/>
    <w:rsid w:val="00490AC0"/>
    <w:rsid w:val="00492692"/>
    <w:rsid w:val="0049292B"/>
    <w:rsid w:val="0049385E"/>
    <w:rsid w:val="0049529F"/>
    <w:rsid w:val="00495823"/>
    <w:rsid w:val="0049688B"/>
    <w:rsid w:val="00496D5A"/>
    <w:rsid w:val="0049776B"/>
    <w:rsid w:val="00497E57"/>
    <w:rsid w:val="004A0502"/>
    <w:rsid w:val="004A184B"/>
    <w:rsid w:val="004A2F94"/>
    <w:rsid w:val="004A31D2"/>
    <w:rsid w:val="004A3720"/>
    <w:rsid w:val="004A3E33"/>
    <w:rsid w:val="004A5608"/>
    <w:rsid w:val="004A7A5B"/>
    <w:rsid w:val="004A7B3D"/>
    <w:rsid w:val="004A7BEE"/>
    <w:rsid w:val="004B0198"/>
    <w:rsid w:val="004B0F1B"/>
    <w:rsid w:val="004B2800"/>
    <w:rsid w:val="004B2CA0"/>
    <w:rsid w:val="004B33F7"/>
    <w:rsid w:val="004B4F2F"/>
    <w:rsid w:val="004B537A"/>
    <w:rsid w:val="004B7380"/>
    <w:rsid w:val="004C3F73"/>
    <w:rsid w:val="004C6128"/>
    <w:rsid w:val="004C798A"/>
    <w:rsid w:val="004C7FE0"/>
    <w:rsid w:val="004D1DC5"/>
    <w:rsid w:val="004D2614"/>
    <w:rsid w:val="004D6F0C"/>
    <w:rsid w:val="004D7F46"/>
    <w:rsid w:val="004E1CA2"/>
    <w:rsid w:val="004E374D"/>
    <w:rsid w:val="004E42F0"/>
    <w:rsid w:val="004E5596"/>
    <w:rsid w:val="004E618B"/>
    <w:rsid w:val="004E64F4"/>
    <w:rsid w:val="004E7367"/>
    <w:rsid w:val="004E7903"/>
    <w:rsid w:val="004F15DB"/>
    <w:rsid w:val="004F1E0B"/>
    <w:rsid w:val="004F221C"/>
    <w:rsid w:val="004F46DF"/>
    <w:rsid w:val="004F4B8E"/>
    <w:rsid w:val="004F5F7E"/>
    <w:rsid w:val="004F639F"/>
    <w:rsid w:val="004F68FA"/>
    <w:rsid w:val="00503209"/>
    <w:rsid w:val="005037CD"/>
    <w:rsid w:val="00504192"/>
    <w:rsid w:val="00504385"/>
    <w:rsid w:val="005057D5"/>
    <w:rsid w:val="00507BF7"/>
    <w:rsid w:val="00507CD1"/>
    <w:rsid w:val="005113FD"/>
    <w:rsid w:val="00511870"/>
    <w:rsid w:val="00515059"/>
    <w:rsid w:val="0051764A"/>
    <w:rsid w:val="00522A24"/>
    <w:rsid w:val="00522C98"/>
    <w:rsid w:val="00524C66"/>
    <w:rsid w:val="005257E8"/>
    <w:rsid w:val="0052705B"/>
    <w:rsid w:val="0052727F"/>
    <w:rsid w:val="005272F2"/>
    <w:rsid w:val="00530025"/>
    <w:rsid w:val="0053043E"/>
    <w:rsid w:val="005305B4"/>
    <w:rsid w:val="00531AF6"/>
    <w:rsid w:val="00532217"/>
    <w:rsid w:val="0053252E"/>
    <w:rsid w:val="005325DA"/>
    <w:rsid w:val="005327B1"/>
    <w:rsid w:val="00533146"/>
    <w:rsid w:val="005355E9"/>
    <w:rsid w:val="00537732"/>
    <w:rsid w:val="00540635"/>
    <w:rsid w:val="00541067"/>
    <w:rsid w:val="005420A1"/>
    <w:rsid w:val="00543196"/>
    <w:rsid w:val="005438DF"/>
    <w:rsid w:val="00543C70"/>
    <w:rsid w:val="005457CB"/>
    <w:rsid w:val="00545EB5"/>
    <w:rsid w:val="00546417"/>
    <w:rsid w:val="00546844"/>
    <w:rsid w:val="00546C8C"/>
    <w:rsid w:val="0054721F"/>
    <w:rsid w:val="00550A35"/>
    <w:rsid w:val="00550DB2"/>
    <w:rsid w:val="00553640"/>
    <w:rsid w:val="00553828"/>
    <w:rsid w:val="00553E4B"/>
    <w:rsid w:val="00554044"/>
    <w:rsid w:val="00554C89"/>
    <w:rsid w:val="005557BC"/>
    <w:rsid w:val="00555DA9"/>
    <w:rsid w:val="00556001"/>
    <w:rsid w:val="00556800"/>
    <w:rsid w:val="00556C72"/>
    <w:rsid w:val="005570A2"/>
    <w:rsid w:val="00557317"/>
    <w:rsid w:val="00557AE0"/>
    <w:rsid w:val="00560489"/>
    <w:rsid w:val="0056199A"/>
    <w:rsid w:val="0056275F"/>
    <w:rsid w:val="00563F1D"/>
    <w:rsid w:val="00564418"/>
    <w:rsid w:val="00565D8B"/>
    <w:rsid w:val="005662C1"/>
    <w:rsid w:val="00566DDF"/>
    <w:rsid w:val="0057373F"/>
    <w:rsid w:val="00574244"/>
    <w:rsid w:val="00575F19"/>
    <w:rsid w:val="00576375"/>
    <w:rsid w:val="00576E4F"/>
    <w:rsid w:val="005770DF"/>
    <w:rsid w:val="005777FF"/>
    <w:rsid w:val="0058121B"/>
    <w:rsid w:val="00581A0B"/>
    <w:rsid w:val="00582329"/>
    <w:rsid w:val="0058288A"/>
    <w:rsid w:val="00583097"/>
    <w:rsid w:val="00586507"/>
    <w:rsid w:val="005867B9"/>
    <w:rsid w:val="00586D0A"/>
    <w:rsid w:val="005905E5"/>
    <w:rsid w:val="00591FCD"/>
    <w:rsid w:val="005936C5"/>
    <w:rsid w:val="00596362"/>
    <w:rsid w:val="00596918"/>
    <w:rsid w:val="00597576"/>
    <w:rsid w:val="005A22A2"/>
    <w:rsid w:val="005A2A0F"/>
    <w:rsid w:val="005A32B1"/>
    <w:rsid w:val="005A3710"/>
    <w:rsid w:val="005A3897"/>
    <w:rsid w:val="005A4A65"/>
    <w:rsid w:val="005A518E"/>
    <w:rsid w:val="005A5682"/>
    <w:rsid w:val="005A6E95"/>
    <w:rsid w:val="005A7379"/>
    <w:rsid w:val="005A75D1"/>
    <w:rsid w:val="005B0045"/>
    <w:rsid w:val="005B0D90"/>
    <w:rsid w:val="005B1A4E"/>
    <w:rsid w:val="005B2B48"/>
    <w:rsid w:val="005B3446"/>
    <w:rsid w:val="005B38E7"/>
    <w:rsid w:val="005B3DE6"/>
    <w:rsid w:val="005B415A"/>
    <w:rsid w:val="005B6C0C"/>
    <w:rsid w:val="005B6E25"/>
    <w:rsid w:val="005B7594"/>
    <w:rsid w:val="005C02DC"/>
    <w:rsid w:val="005C181D"/>
    <w:rsid w:val="005C2167"/>
    <w:rsid w:val="005C23A1"/>
    <w:rsid w:val="005C5322"/>
    <w:rsid w:val="005C6682"/>
    <w:rsid w:val="005C687D"/>
    <w:rsid w:val="005D0267"/>
    <w:rsid w:val="005D0B7A"/>
    <w:rsid w:val="005D2451"/>
    <w:rsid w:val="005D2B6E"/>
    <w:rsid w:val="005D2B9C"/>
    <w:rsid w:val="005D3645"/>
    <w:rsid w:val="005D3B7D"/>
    <w:rsid w:val="005D3F38"/>
    <w:rsid w:val="005D4266"/>
    <w:rsid w:val="005D6B0E"/>
    <w:rsid w:val="005D6F77"/>
    <w:rsid w:val="005D7ECA"/>
    <w:rsid w:val="005E17B0"/>
    <w:rsid w:val="005E2044"/>
    <w:rsid w:val="005E238C"/>
    <w:rsid w:val="005E3C98"/>
    <w:rsid w:val="005E5735"/>
    <w:rsid w:val="005E6DD8"/>
    <w:rsid w:val="005E78C0"/>
    <w:rsid w:val="005F1805"/>
    <w:rsid w:val="005F23F3"/>
    <w:rsid w:val="005F2775"/>
    <w:rsid w:val="005F5575"/>
    <w:rsid w:val="00600C3F"/>
    <w:rsid w:val="006035F6"/>
    <w:rsid w:val="00604017"/>
    <w:rsid w:val="00604185"/>
    <w:rsid w:val="00605A59"/>
    <w:rsid w:val="0060726A"/>
    <w:rsid w:val="00612E59"/>
    <w:rsid w:val="00614620"/>
    <w:rsid w:val="00614A9D"/>
    <w:rsid w:val="00615D25"/>
    <w:rsid w:val="006162D4"/>
    <w:rsid w:val="0061778D"/>
    <w:rsid w:val="00621D58"/>
    <w:rsid w:val="00621D98"/>
    <w:rsid w:val="00621E4F"/>
    <w:rsid w:val="0062266F"/>
    <w:rsid w:val="00623096"/>
    <w:rsid w:val="00623B9D"/>
    <w:rsid w:val="006246A7"/>
    <w:rsid w:val="00624AF1"/>
    <w:rsid w:val="00626372"/>
    <w:rsid w:val="00627C30"/>
    <w:rsid w:val="00627DBD"/>
    <w:rsid w:val="00631175"/>
    <w:rsid w:val="0063170F"/>
    <w:rsid w:val="006328FF"/>
    <w:rsid w:val="00633421"/>
    <w:rsid w:val="00633BCD"/>
    <w:rsid w:val="0063578D"/>
    <w:rsid w:val="00636178"/>
    <w:rsid w:val="0063686A"/>
    <w:rsid w:val="00636A24"/>
    <w:rsid w:val="00637439"/>
    <w:rsid w:val="00640165"/>
    <w:rsid w:val="006402A2"/>
    <w:rsid w:val="00640C29"/>
    <w:rsid w:val="00641905"/>
    <w:rsid w:val="00641F82"/>
    <w:rsid w:val="0064250B"/>
    <w:rsid w:val="00643DD1"/>
    <w:rsid w:val="00646EFC"/>
    <w:rsid w:val="00650AFD"/>
    <w:rsid w:val="00650B00"/>
    <w:rsid w:val="0065196E"/>
    <w:rsid w:val="00652739"/>
    <w:rsid w:val="00652AE1"/>
    <w:rsid w:val="006533A6"/>
    <w:rsid w:val="006536ED"/>
    <w:rsid w:val="00654F84"/>
    <w:rsid w:val="00656350"/>
    <w:rsid w:val="006564A2"/>
    <w:rsid w:val="006564CF"/>
    <w:rsid w:val="00656630"/>
    <w:rsid w:val="00656F58"/>
    <w:rsid w:val="00657A60"/>
    <w:rsid w:val="00657D26"/>
    <w:rsid w:val="00660083"/>
    <w:rsid w:val="0066025B"/>
    <w:rsid w:val="006603F6"/>
    <w:rsid w:val="006606D5"/>
    <w:rsid w:val="00660C14"/>
    <w:rsid w:val="00661EDF"/>
    <w:rsid w:val="006627D5"/>
    <w:rsid w:val="00663C4F"/>
    <w:rsid w:val="00663CF4"/>
    <w:rsid w:val="006652A1"/>
    <w:rsid w:val="006660A6"/>
    <w:rsid w:val="00666571"/>
    <w:rsid w:val="00667C3F"/>
    <w:rsid w:val="00671482"/>
    <w:rsid w:val="00672F09"/>
    <w:rsid w:val="00673A51"/>
    <w:rsid w:val="00673AC8"/>
    <w:rsid w:val="00673F60"/>
    <w:rsid w:val="006751BE"/>
    <w:rsid w:val="00675A3A"/>
    <w:rsid w:val="0067601D"/>
    <w:rsid w:val="006764F4"/>
    <w:rsid w:val="00677930"/>
    <w:rsid w:val="0068167A"/>
    <w:rsid w:val="006822DD"/>
    <w:rsid w:val="00682EB1"/>
    <w:rsid w:val="00683567"/>
    <w:rsid w:val="006849D9"/>
    <w:rsid w:val="00685720"/>
    <w:rsid w:val="00685A6B"/>
    <w:rsid w:val="00685C7C"/>
    <w:rsid w:val="006869EF"/>
    <w:rsid w:val="00686AE8"/>
    <w:rsid w:val="00686DBA"/>
    <w:rsid w:val="006877D1"/>
    <w:rsid w:val="00687880"/>
    <w:rsid w:val="00687C90"/>
    <w:rsid w:val="0069051F"/>
    <w:rsid w:val="00690592"/>
    <w:rsid w:val="006908F0"/>
    <w:rsid w:val="00691516"/>
    <w:rsid w:val="006915BE"/>
    <w:rsid w:val="006931C3"/>
    <w:rsid w:val="00693615"/>
    <w:rsid w:val="00693CB4"/>
    <w:rsid w:val="00695533"/>
    <w:rsid w:val="006956F6"/>
    <w:rsid w:val="006959F1"/>
    <w:rsid w:val="006979F0"/>
    <w:rsid w:val="00697F92"/>
    <w:rsid w:val="006A18B3"/>
    <w:rsid w:val="006A1914"/>
    <w:rsid w:val="006A1E1E"/>
    <w:rsid w:val="006A1FCD"/>
    <w:rsid w:val="006A250F"/>
    <w:rsid w:val="006A2F58"/>
    <w:rsid w:val="006A3B05"/>
    <w:rsid w:val="006A4106"/>
    <w:rsid w:val="006A4B81"/>
    <w:rsid w:val="006A727A"/>
    <w:rsid w:val="006A78E8"/>
    <w:rsid w:val="006A7F19"/>
    <w:rsid w:val="006B0A67"/>
    <w:rsid w:val="006B0AAE"/>
    <w:rsid w:val="006B1166"/>
    <w:rsid w:val="006B1862"/>
    <w:rsid w:val="006B1DEC"/>
    <w:rsid w:val="006B2454"/>
    <w:rsid w:val="006B3A1E"/>
    <w:rsid w:val="006B5417"/>
    <w:rsid w:val="006B58AB"/>
    <w:rsid w:val="006C0A26"/>
    <w:rsid w:val="006C1E31"/>
    <w:rsid w:val="006C2025"/>
    <w:rsid w:val="006C2289"/>
    <w:rsid w:val="006C3E91"/>
    <w:rsid w:val="006C449C"/>
    <w:rsid w:val="006C501C"/>
    <w:rsid w:val="006C5BCC"/>
    <w:rsid w:val="006C6DB0"/>
    <w:rsid w:val="006C79E2"/>
    <w:rsid w:val="006D001C"/>
    <w:rsid w:val="006D0BC6"/>
    <w:rsid w:val="006D0CD9"/>
    <w:rsid w:val="006D1534"/>
    <w:rsid w:val="006D2B6F"/>
    <w:rsid w:val="006D2FB3"/>
    <w:rsid w:val="006D7616"/>
    <w:rsid w:val="006E4893"/>
    <w:rsid w:val="006E523F"/>
    <w:rsid w:val="006E624F"/>
    <w:rsid w:val="006E6DAD"/>
    <w:rsid w:val="006E7082"/>
    <w:rsid w:val="006E7834"/>
    <w:rsid w:val="006F1452"/>
    <w:rsid w:val="006F16F2"/>
    <w:rsid w:val="006F21B1"/>
    <w:rsid w:val="006F3ED6"/>
    <w:rsid w:val="006F45C1"/>
    <w:rsid w:val="006F518D"/>
    <w:rsid w:val="006F6654"/>
    <w:rsid w:val="006F67A4"/>
    <w:rsid w:val="006F6BA7"/>
    <w:rsid w:val="006F6CFF"/>
    <w:rsid w:val="00701115"/>
    <w:rsid w:val="00702E8F"/>
    <w:rsid w:val="00704859"/>
    <w:rsid w:val="00704BE8"/>
    <w:rsid w:val="00705812"/>
    <w:rsid w:val="0070702E"/>
    <w:rsid w:val="007079DE"/>
    <w:rsid w:val="0071222D"/>
    <w:rsid w:val="00712462"/>
    <w:rsid w:val="007145A9"/>
    <w:rsid w:val="007145DE"/>
    <w:rsid w:val="007155F5"/>
    <w:rsid w:val="00716AF2"/>
    <w:rsid w:val="00717449"/>
    <w:rsid w:val="007206B0"/>
    <w:rsid w:val="00721286"/>
    <w:rsid w:val="00722220"/>
    <w:rsid w:val="0072365F"/>
    <w:rsid w:val="00724384"/>
    <w:rsid w:val="00724488"/>
    <w:rsid w:val="00724C8B"/>
    <w:rsid w:val="00725169"/>
    <w:rsid w:val="00725309"/>
    <w:rsid w:val="00725B82"/>
    <w:rsid w:val="00730EF5"/>
    <w:rsid w:val="007314A4"/>
    <w:rsid w:val="00731B73"/>
    <w:rsid w:val="0073248A"/>
    <w:rsid w:val="00734944"/>
    <w:rsid w:val="007352B2"/>
    <w:rsid w:val="007363C0"/>
    <w:rsid w:val="00740294"/>
    <w:rsid w:val="00740BAA"/>
    <w:rsid w:val="007410F1"/>
    <w:rsid w:val="00741768"/>
    <w:rsid w:val="00741E65"/>
    <w:rsid w:val="007426D8"/>
    <w:rsid w:val="0074301E"/>
    <w:rsid w:val="00744C29"/>
    <w:rsid w:val="00745187"/>
    <w:rsid w:val="0074568E"/>
    <w:rsid w:val="00745F3E"/>
    <w:rsid w:val="00746CFD"/>
    <w:rsid w:val="0075046E"/>
    <w:rsid w:val="0075074F"/>
    <w:rsid w:val="00752184"/>
    <w:rsid w:val="00752992"/>
    <w:rsid w:val="00754BFA"/>
    <w:rsid w:val="00754D46"/>
    <w:rsid w:val="00754EC8"/>
    <w:rsid w:val="007576BE"/>
    <w:rsid w:val="007576C6"/>
    <w:rsid w:val="00762A46"/>
    <w:rsid w:val="00762DBC"/>
    <w:rsid w:val="00763F0D"/>
    <w:rsid w:val="00765389"/>
    <w:rsid w:val="0076651D"/>
    <w:rsid w:val="007667DF"/>
    <w:rsid w:val="00767A67"/>
    <w:rsid w:val="00767DB4"/>
    <w:rsid w:val="0077024A"/>
    <w:rsid w:val="007708C1"/>
    <w:rsid w:val="00770DA2"/>
    <w:rsid w:val="00771233"/>
    <w:rsid w:val="00771EDE"/>
    <w:rsid w:val="00772666"/>
    <w:rsid w:val="00774358"/>
    <w:rsid w:val="007749B5"/>
    <w:rsid w:val="00774EB7"/>
    <w:rsid w:val="00776B68"/>
    <w:rsid w:val="00776B96"/>
    <w:rsid w:val="007856CC"/>
    <w:rsid w:val="00786EE8"/>
    <w:rsid w:val="00793A4F"/>
    <w:rsid w:val="00793F05"/>
    <w:rsid w:val="00793F68"/>
    <w:rsid w:val="007940D5"/>
    <w:rsid w:val="00794207"/>
    <w:rsid w:val="00794311"/>
    <w:rsid w:val="007956CE"/>
    <w:rsid w:val="007970D6"/>
    <w:rsid w:val="007A1EFE"/>
    <w:rsid w:val="007A49E7"/>
    <w:rsid w:val="007A5941"/>
    <w:rsid w:val="007A6607"/>
    <w:rsid w:val="007A6AE9"/>
    <w:rsid w:val="007B0B37"/>
    <w:rsid w:val="007B16C2"/>
    <w:rsid w:val="007B1F6C"/>
    <w:rsid w:val="007B3139"/>
    <w:rsid w:val="007B5145"/>
    <w:rsid w:val="007B6236"/>
    <w:rsid w:val="007C01D7"/>
    <w:rsid w:val="007C0327"/>
    <w:rsid w:val="007C0604"/>
    <w:rsid w:val="007C0A90"/>
    <w:rsid w:val="007C27CD"/>
    <w:rsid w:val="007C30CC"/>
    <w:rsid w:val="007C4EE4"/>
    <w:rsid w:val="007C504D"/>
    <w:rsid w:val="007C512B"/>
    <w:rsid w:val="007C5F51"/>
    <w:rsid w:val="007C6D32"/>
    <w:rsid w:val="007C73B5"/>
    <w:rsid w:val="007D1208"/>
    <w:rsid w:val="007D1566"/>
    <w:rsid w:val="007D1C25"/>
    <w:rsid w:val="007D3DC0"/>
    <w:rsid w:val="007D4A88"/>
    <w:rsid w:val="007D5E69"/>
    <w:rsid w:val="007D6485"/>
    <w:rsid w:val="007D6AEC"/>
    <w:rsid w:val="007E109D"/>
    <w:rsid w:val="007E182B"/>
    <w:rsid w:val="007E397C"/>
    <w:rsid w:val="007E5914"/>
    <w:rsid w:val="007E5C36"/>
    <w:rsid w:val="007E6442"/>
    <w:rsid w:val="007E70E3"/>
    <w:rsid w:val="007E72DD"/>
    <w:rsid w:val="007F073A"/>
    <w:rsid w:val="007F0D9F"/>
    <w:rsid w:val="007F1381"/>
    <w:rsid w:val="007F3466"/>
    <w:rsid w:val="007F34A8"/>
    <w:rsid w:val="007F3909"/>
    <w:rsid w:val="007F509D"/>
    <w:rsid w:val="007F564E"/>
    <w:rsid w:val="007F7158"/>
    <w:rsid w:val="007F769F"/>
    <w:rsid w:val="00800C3F"/>
    <w:rsid w:val="0080199F"/>
    <w:rsid w:val="008019A2"/>
    <w:rsid w:val="00801BA0"/>
    <w:rsid w:val="00803C70"/>
    <w:rsid w:val="00803F1F"/>
    <w:rsid w:val="00805DF3"/>
    <w:rsid w:val="00805FC3"/>
    <w:rsid w:val="00807A7B"/>
    <w:rsid w:val="00807CE3"/>
    <w:rsid w:val="008109A2"/>
    <w:rsid w:val="00811B64"/>
    <w:rsid w:val="0081229C"/>
    <w:rsid w:val="00814493"/>
    <w:rsid w:val="00817C22"/>
    <w:rsid w:val="00820433"/>
    <w:rsid w:val="00820B50"/>
    <w:rsid w:val="00821869"/>
    <w:rsid w:val="00823625"/>
    <w:rsid w:val="00824188"/>
    <w:rsid w:val="00824AF3"/>
    <w:rsid w:val="00825B10"/>
    <w:rsid w:val="00825EBE"/>
    <w:rsid w:val="00826067"/>
    <w:rsid w:val="008262E8"/>
    <w:rsid w:val="00826F67"/>
    <w:rsid w:val="008271F1"/>
    <w:rsid w:val="00833F9F"/>
    <w:rsid w:val="00834C4E"/>
    <w:rsid w:val="00835400"/>
    <w:rsid w:val="008358F5"/>
    <w:rsid w:val="00840109"/>
    <w:rsid w:val="00841AAC"/>
    <w:rsid w:val="008428FA"/>
    <w:rsid w:val="008429F3"/>
    <w:rsid w:val="00842ACB"/>
    <w:rsid w:val="00845C9E"/>
    <w:rsid w:val="0085097B"/>
    <w:rsid w:val="00850CD7"/>
    <w:rsid w:val="0085149E"/>
    <w:rsid w:val="00852F54"/>
    <w:rsid w:val="00853004"/>
    <w:rsid w:val="008539FA"/>
    <w:rsid w:val="008541F8"/>
    <w:rsid w:val="00855A12"/>
    <w:rsid w:val="00855FAE"/>
    <w:rsid w:val="008569C4"/>
    <w:rsid w:val="008572CB"/>
    <w:rsid w:val="00860570"/>
    <w:rsid w:val="00861C90"/>
    <w:rsid w:val="008621F6"/>
    <w:rsid w:val="00862398"/>
    <w:rsid w:val="00862945"/>
    <w:rsid w:val="008632AC"/>
    <w:rsid w:val="00864B6B"/>
    <w:rsid w:val="008651EA"/>
    <w:rsid w:val="00865768"/>
    <w:rsid w:val="0086628F"/>
    <w:rsid w:val="00867C39"/>
    <w:rsid w:val="008708E7"/>
    <w:rsid w:val="00870D7D"/>
    <w:rsid w:val="00870E11"/>
    <w:rsid w:val="008717C0"/>
    <w:rsid w:val="008733F4"/>
    <w:rsid w:val="0087342A"/>
    <w:rsid w:val="00873790"/>
    <w:rsid w:val="00875715"/>
    <w:rsid w:val="00875F18"/>
    <w:rsid w:val="008760CB"/>
    <w:rsid w:val="00880173"/>
    <w:rsid w:val="00881BD4"/>
    <w:rsid w:val="0088246D"/>
    <w:rsid w:val="008827A6"/>
    <w:rsid w:val="008842E6"/>
    <w:rsid w:val="008855C3"/>
    <w:rsid w:val="008865C1"/>
    <w:rsid w:val="008902BE"/>
    <w:rsid w:val="00891540"/>
    <w:rsid w:val="00892EB8"/>
    <w:rsid w:val="00893572"/>
    <w:rsid w:val="00893809"/>
    <w:rsid w:val="00893F57"/>
    <w:rsid w:val="008940D9"/>
    <w:rsid w:val="00894431"/>
    <w:rsid w:val="00895459"/>
    <w:rsid w:val="00897135"/>
    <w:rsid w:val="0089730A"/>
    <w:rsid w:val="008978A2"/>
    <w:rsid w:val="008A0EED"/>
    <w:rsid w:val="008A15AA"/>
    <w:rsid w:val="008A356D"/>
    <w:rsid w:val="008A393D"/>
    <w:rsid w:val="008A4DF5"/>
    <w:rsid w:val="008A64A8"/>
    <w:rsid w:val="008A6813"/>
    <w:rsid w:val="008A70C3"/>
    <w:rsid w:val="008A7CC6"/>
    <w:rsid w:val="008B0C09"/>
    <w:rsid w:val="008B2E38"/>
    <w:rsid w:val="008B3E2A"/>
    <w:rsid w:val="008B497E"/>
    <w:rsid w:val="008B4E47"/>
    <w:rsid w:val="008B4F63"/>
    <w:rsid w:val="008B5D07"/>
    <w:rsid w:val="008B6DC9"/>
    <w:rsid w:val="008C00B5"/>
    <w:rsid w:val="008C06FC"/>
    <w:rsid w:val="008C1349"/>
    <w:rsid w:val="008C19BD"/>
    <w:rsid w:val="008C2AAE"/>
    <w:rsid w:val="008C2DA5"/>
    <w:rsid w:val="008C3E66"/>
    <w:rsid w:val="008C53E1"/>
    <w:rsid w:val="008C55BC"/>
    <w:rsid w:val="008C594B"/>
    <w:rsid w:val="008C6A4E"/>
    <w:rsid w:val="008D0766"/>
    <w:rsid w:val="008D0CB3"/>
    <w:rsid w:val="008E0FD8"/>
    <w:rsid w:val="008E13E5"/>
    <w:rsid w:val="008E2511"/>
    <w:rsid w:val="008E354E"/>
    <w:rsid w:val="008E4022"/>
    <w:rsid w:val="008E44A6"/>
    <w:rsid w:val="008E5CE2"/>
    <w:rsid w:val="008E66F4"/>
    <w:rsid w:val="008E7802"/>
    <w:rsid w:val="008E7870"/>
    <w:rsid w:val="008F07F0"/>
    <w:rsid w:val="008F0AD3"/>
    <w:rsid w:val="008F1DF6"/>
    <w:rsid w:val="008F326C"/>
    <w:rsid w:val="008F4153"/>
    <w:rsid w:val="008F588B"/>
    <w:rsid w:val="008F5A64"/>
    <w:rsid w:val="008F5CC0"/>
    <w:rsid w:val="008F64C1"/>
    <w:rsid w:val="008F7806"/>
    <w:rsid w:val="008F7DC2"/>
    <w:rsid w:val="00900B89"/>
    <w:rsid w:val="00902444"/>
    <w:rsid w:val="00902A0C"/>
    <w:rsid w:val="00903502"/>
    <w:rsid w:val="00905056"/>
    <w:rsid w:val="00905608"/>
    <w:rsid w:val="00905E31"/>
    <w:rsid w:val="0090603A"/>
    <w:rsid w:val="0090611E"/>
    <w:rsid w:val="00906AFE"/>
    <w:rsid w:val="00907B4A"/>
    <w:rsid w:val="00907E70"/>
    <w:rsid w:val="00907F19"/>
    <w:rsid w:val="009115DA"/>
    <w:rsid w:val="00911947"/>
    <w:rsid w:val="00911B76"/>
    <w:rsid w:val="00911C80"/>
    <w:rsid w:val="009143C7"/>
    <w:rsid w:val="009147F5"/>
    <w:rsid w:val="00914B0C"/>
    <w:rsid w:val="00915990"/>
    <w:rsid w:val="009214D1"/>
    <w:rsid w:val="0092275C"/>
    <w:rsid w:val="00922E0A"/>
    <w:rsid w:val="00923DC2"/>
    <w:rsid w:val="00923F0B"/>
    <w:rsid w:val="00925659"/>
    <w:rsid w:val="00925FC9"/>
    <w:rsid w:val="00927AE0"/>
    <w:rsid w:val="0093275A"/>
    <w:rsid w:val="00933878"/>
    <w:rsid w:val="00933AF9"/>
    <w:rsid w:val="00933F35"/>
    <w:rsid w:val="00935D10"/>
    <w:rsid w:val="00941BFD"/>
    <w:rsid w:val="009428A6"/>
    <w:rsid w:val="0094357A"/>
    <w:rsid w:val="0094436F"/>
    <w:rsid w:val="00944BD8"/>
    <w:rsid w:val="00945823"/>
    <w:rsid w:val="00945FD8"/>
    <w:rsid w:val="0094718C"/>
    <w:rsid w:val="00947AC8"/>
    <w:rsid w:val="00947DE3"/>
    <w:rsid w:val="009523FD"/>
    <w:rsid w:val="00952F2C"/>
    <w:rsid w:val="009532D2"/>
    <w:rsid w:val="00954C3F"/>
    <w:rsid w:val="00955505"/>
    <w:rsid w:val="00955D03"/>
    <w:rsid w:val="00955E56"/>
    <w:rsid w:val="009562F0"/>
    <w:rsid w:val="00956860"/>
    <w:rsid w:val="00956A8A"/>
    <w:rsid w:val="00956F44"/>
    <w:rsid w:val="00957320"/>
    <w:rsid w:val="009610E5"/>
    <w:rsid w:val="00961BD6"/>
    <w:rsid w:val="00964C87"/>
    <w:rsid w:val="00964EA4"/>
    <w:rsid w:val="00965AA1"/>
    <w:rsid w:val="00970549"/>
    <w:rsid w:val="0097159C"/>
    <w:rsid w:val="00971CE1"/>
    <w:rsid w:val="00971F18"/>
    <w:rsid w:val="00971FD5"/>
    <w:rsid w:val="0097323F"/>
    <w:rsid w:val="009756FF"/>
    <w:rsid w:val="00976258"/>
    <w:rsid w:val="00977647"/>
    <w:rsid w:val="0097773F"/>
    <w:rsid w:val="00977898"/>
    <w:rsid w:val="00981256"/>
    <w:rsid w:val="009814A9"/>
    <w:rsid w:val="00981E79"/>
    <w:rsid w:val="00982EFE"/>
    <w:rsid w:val="00983427"/>
    <w:rsid w:val="00983764"/>
    <w:rsid w:val="00984D12"/>
    <w:rsid w:val="009864CB"/>
    <w:rsid w:val="009868A4"/>
    <w:rsid w:val="009874F9"/>
    <w:rsid w:val="00990268"/>
    <w:rsid w:val="00990894"/>
    <w:rsid w:val="009914BD"/>
    <w:rsid w:val="00991F59"/>
    <w:rsid w:val="009926FD"/>
    <w:rsid w:val="009928E0"/>
    <w:rsid w:val="00994B2A"/>
    <w:rsid w:val="00994DE3"/>
    <w:rsid w:val="0099595A"/>
    <w:rsid w:val="00995FB6"/>
    <w:rsid w:val="009A06F4"/>
    <w:rsid w:val="009A0B49"/>
    <w:rsid w:val="009A13E7"/>
    <w:rsid w:val="009A2A09"/>
    <w:rsid w:val="009A4A93"/>
    <w:rsid w:val="009A5828"/>
    <w:rsid w:val="009A590C"/>
    <w:rsid w:val="009A5BF8"/>
    <w:rsid w:val="009A6405"/>
    <w:rsid w:val="009A6890"/>
    <w:rsid w:val="009A751B"/>
    <w:rsid w:val="009A7A82"/>
    <w:rsid w:val="009B1053"/>
    <w:rsid w:val="009B129A"/>
    <w:rsid w:val="009B2700"/>
    <w:rsid w:val="009B449A"/>
    <w:rsid w:val="009B4645"/>
    <w:rsid w:val="009B4D48"/>
    <w:rsid w:val="009B630B"/>
    <w:rsid w:val="009B6C77"/>
    <w:rsid w:val="009B733F"/>
    <w:rsid w:val="009B77E9"/>
    <w:rsid w:val="009C0915"/>
    <w:rsid w:val="009C1564"/>
    <w:rsid w:val="009C1C6C"/>
    <w:rsid w:val="009C24A9"/>
    <w:rsid w:val="009C2C09"/>
    <w:rsid w:val="009C4CE3"/>
    <w:rsid w:val="009C502A"/>
    <w:rsid w:val="009C50E0"/>
    <w:rsid w:val="009C5FD0"/>
    <w:rsid w:val="009C7BE6"/>
    <w:rsid w:val="009C7FCB"/>
    <w:rsid w:val="009D1150"/>
    <w:rsid w:val="009D1725"/>
    <w:rsid w:val="009D1E85"/>
    <w:rsid w:val="009D2CD1"/>
    <w:rsid w:val="009D52D1"/>
    <w:rsid w:val="009D662C"/>
    <w:rsid w:val="009D7129"/>
    <w:rsid w:val="009D7B69"/>
    <w:rsid w:val="009E39F8"/>
    <w:rsid w:val="009E3AA6"/>
    <w:rsid w:val="009E6916"/>
    <w:rsid w:val="009F0658"/>
    <w:rsid w:val="009F2A1B"/>
    <w:rsid w:val="009F2B85"/>
    <w:rsid w:val="009F3049"/>
    <w:rsid w:val="009F4B63"/>
    <w:rsid w:val="009F588C"/>
    <w:rsid w:val="009F6488"/>
    <w:rsid w:val="009F64B9"/>
    <w:rsid w:val="009F7A25"/>
    <w:rsid w:val="00A00D7E"/>
    <w:rsid w:val="00A0113F"/>
    <w:rsid w:val="00A01B5E"/>
    <w:rsid w:val="00A026F0"/>
    <w:rsid w:val="00A02B23"/>
    <w:rsid w:val="00A03AC1"/>
    <w:rsid w:val="00A03D9E"/>
    <w:rsid w:val="00A125C0"/>
    <w:rsid w:val="00A128EB"/>
    <w:rsid w:val="00A13804"/>
    <w:rsid w:val="00A13BD0"/>
    <w:rsid w:val="00A13C91"/>
    <w:rsid w:val="00A16084"/>
    <w:rsid w:val="00A16AD8"/>
    <w:rsid w:val="00A1735C"/>
    <w:rsid w:val="00A17D0F"/>
    <w:rsid w:val="00A22590"/>
    <w:rsid w:val="00A23A01"/>
    <w:rsid w:val="00A23BA6"/>
    <w:rsid w:val="00A24E8E"/>
    <w:rsid w:val="00A26099"/>
    <w:rsid w:val="00A27102"/>
    <w:rsid w:val="00A27EAB"/>
    <w:rsid w:val="00A3096B"/>
    <w:rsid w:val="00A31107"/>
    <w:rsid w:val="00A316DA"/>
    <w:rsid w:val="00A324B7"/>
    <w:rsid w:val="00A332E1"/>
    <w:rsid w:val="00A33CA0"/>
    <w:rsid w:val="00A33E5C"/>
    <w:rsid w:val="00A34BDC"/>
    <w:rsid w:val="00A370B7"/>
    <w:rsid w:val="00A371B4"/>
    <w:rsid w:val="00A37432"/>
    <w:rsid w:val="00A375C1"/>
    <w:rsid w:val="00A40014"/>
    <w:rsid w:val="00A40CB1"/>
    <w:rsid w:val="00A40F9C"/>
    <w:rsid w:val="00A42E55"/>
    <w:rsid w:val="00A4420B"/>
    <w:rsid w:val="00A4677E"/>
    <w:rsid w:val="00A469F3"/>
    <w:rsid w:val="00A47F15"/>
    <w:rsid w:val="00A50F75"/>
    <w:rsid w:val="00A523B9"/>
    <w:rsid w:val="00A52E6E"/>
    <w:rsid w:val="00A54AA9"/>
    <w:rsid w:val="00A55592"/>
    <w:rsid w:val="00A55FCB"/>
    <w:rsid w:val="00A561C0"/>
    <w:rsid w:val="00A618E1"/>
    <w:rsid w:val="00A62162"/>
    <w:rsid w:val="00A62BDE"/>
    <w:rsid w:val="00A62BE8"/>
    <w:rsid w:val="00A64DD9"/>
    <w:rsid w:val="00A6501F"/>
    <w:rsid w:val="00A651A1"/>
    <w:rsid w:val="00A65CEA"/>
    <w:rsid w:val="00A668A5"/>
    <w:rsid w:val="00A67EEF"/>
    <w:rsid w:val="00A71E42"/>
    <w:rsid w:val="00A72FC4"/>
    <w:rsid w:val="00A731E4"/>
    <w:rsid w:val="00A73333"/>
    <w:rsid w:val="00A74A2F"/>
    <w:rsid w:val="00A758A0"/>
    <w:rsid w:val="00A7639D"/>
    <w:rsid w:val="00A82725"/>
    <w:rsid w:val="00A83B36"/>
    <w:rsid w:val="00A83D1C"/>
    <w:rsid w:val="00A84EB2"/>
    <w:rsid w:val="00A861AD"/>
    <w:rsid w:val="00A879AA"/>
    <w:rsid w:val="00A907B6"/>
    <w:rsid w:val="00A91454"/>
    <w:rsid w:val="00A91FCD"/>
    <w:rsid w:val="00A92222"/>
    <w:rsid w:val="00A95038"/>
    <w:rsid w:val="00A952D4"/>
    <w:rsid w:val="00A95386"/>
    <w:rsid w:val="00A9662A"/>
    <w:rsid w:val="00A97BF2"/>
    <w:rsid w:val="00A97D5A"/>
    <w:rsid w:val="00AA232A"/>
    <w:rsid w:val="00AA2CDC"/>
    <w:rsid w:val="00AA3962"/>
    <w:rsid w:val="00AA4AF0"/>
    <w:rsid w:val="00AA4E25"/>
    <w:rsid w:val="00AA5262"/>
    <w:rsid w:val="00AA5C6A"/>
    <w:rsid w:val="00AA6E02"/>
    <w:rsid w:val="00AB10B3"/>
    <w:rsid w:val="00AB223C"/>
    <w:rsid w:val="00AB22F3"/>
    <w:rsid w:val="00AB2C4F"/>
    <w:rsid w:val="00AB2D07"/>
    <w:rsid w:val="00AB39E3"/>
    <w:rsid w:val="00AB6907"/>
    <w:rsid w:val="00AB7C79"/>
    <w:rsid w:val="00AB7D38"/>
    <w:rsid w:val="00AC06D6"/>
    <w:rsid w:val="00AC1C0A"/>
    <w:rsid w:val="00AC20F8"/>
    <w:rsid w:val="00AC214C"/>
    <w:rsid w:val="00AC3E7C"/>
    <w:rsid w:val="00AC542B"/>
    <w:rsid w:val="00AC5612"/>
    <w:rsid w:val="00AC57D4"/>
    <w:rsid w:val="00AC5D82"/>
    <w:rsid w:val="00AC67B9"/>
    <w:rsid w:val="00AC728F"/>
    <w:rsid w:val="00AC7D43"/>
    <w:rsid w:val="00AC7D4A"/>
    <w:rsid w:val="00AC7D59"/>
    <w:rsid w:val="00AD0D21"/>
    <w:rsid w:val="00AD0E2F"/>
    <w:rsid w:val="00AD3802"/>
    <w:rsid w:val="00AD46D4"/>
    <w:rsid w:val="00AD479F"/>
    <w:rsid w:val="00AD7936"/>
    <w:rsid w:val="00AD7DE3"/>
    <w:rsid w:val="00AE12F7"/>
    <w:rsid w:val="00AE23CB"/>
    <w:rsid w:val="00AE2F2E"/>
    <w:rsid w:val="00AE6074"/>
    <w:rsid w:val="00AE77E6"/>
    <w:rsid w:val="00AE7FA6"/>
    <w:rsid w:val="00AF0284"/>
    <w:rsid w:val="00AF0288"/>
    <w:rsid w:val="00AF0C59"/>
    <w:rsid w:val="00AF0CC9"/>
    <w:rsid w:val="00AF0F93"/>
    <w:rsid w:val="00AF1299"/>
    <w:rsid w:val="00AF2112"/>
    <w:rsid w:val="00AF4888"/>
    <w:rsid w:val="00AF5C24"/>
    <w:rsid w:val="00AF61DC"/>
    <w:rsid w:val="00AF6CCB"/>
    <w:rsid w:val="00B000B9"/>
    <w:rsid w:val="00B00386"/>
    <w:rsid w:val="00B0160F"/>
    <w:rsid w:val="00B018D9"/>
    <w:rsid w:val="00B029A8"/>
    <w:rsid w:val="00B03F0D"/>
    <w:rsid w:val="00B0532A"/>
    <w:rsid w:val="00B055C9"/>
    <w:rsid w:val="00B0666F"/>
    <w:rsid w:val="00B10E7A"/>
    <w:rsid w:val="00B11994"/>
    <w:rsid w:val="00B11A0B"/>
    <w:rsid w:val="00B11E3E"/>
    <w:rsid w:val="00B12AE0"/>
    <w:rsid w:val="00B15526"/>
    <w:rsid w:val="00B15ACE"/>
    <w:rsid w:val="00B17841"/>
    <w:rsid w:val="00B179AC"/>
    <w:rsid w:val="00B17CED"/>
    <w:rsid w:val="00B216CC"/>
    <w:rsid w:val="00B219D1"/>
    <w:rsid w:val="00B223CF"/>
    <w:rsid w:val="00B2517F"/>
    <w:rsid w:val="00B26B9C"/>
    <w:rsid w:val="00B273FE"/>
    <w:rsid w:val="00B3052D"/>
    <w:rsid w:val="00B308C9"/>
    <w:rsid w:val="00B30C84"/>
    <w:rsid w:val="00B32772"/>
    <w:rsid w:val="00B3336F"/>
    <w:rsid w:val="00B33626"/>
    <w:rsid w:val="00B33C8E"/>
    <w:rsid w:val="00B33D15"/>
    <w:rsid w:val="00B34456"/>
    <w:rsid w:val="00B369DC"/>
    <w:rsid w:val="00B37EE9"/>
    <w:rsid w:val="00B40087"/>
    <w:rsid w:val="00B414A3"/>
    <w:rsid w:val="00B419A0"/>
    <w:rsid w:val="00B423BE"/>
    <w:rsid w:val="00B428A4"/>
    <w:rsid w:val="00B44B38"/>
    <w:rsid w:val="00B44EA8"/>
    <w:rsid w:val="00B47D6C"/>
    <w:rsid w:val="00B50177"/>
    <w:rsid w:val="00B5101A"/>
    <w:rsid w:val="00B54420"/>
    <w:rsid w:val="00B54FBB"/>
    <w:rsid w:val="00B55B20"/>
    <w:rsid w:val="00B56D2C"/>
    <w:rsid w:val="00B5773C"/>
    <w:rsid w:val="00B57BDF"/>
    <w:rsid w:val="00B62339"/>
    <w:rsid w:val="00B63832"/>
    <w:rsid w:val="00B70387"/>
    <w:rsid w:val="00B70998"/>
    <w:rsid w:val="00B7170E"/>
    <w:rsid w:val="00B71E39"/>
    <w:rsid w:val="00B7219E"/>
    <w:rsid w:val="00B727EB"/>
    <w:rsid w:val="00B728A0"/>
    <w:rsid w:val="00B7692A"/>
    <w:rsid w:val="00B80396"/>
    <w:rsid w:val="00B80475"/>
    <w:rsid w:val="00B812C2"/>
    <w:rsid w:val="00B81721"/>
    <w:rsid w:val="00B82290"/>
    <w:rsid w:val="00B8284F"/>
    <w:rsid w:val="00B83309"/>
    <w:rsid w:val="00B837C7"/>
    <w:rsid w:val="00B841F8"/>
    <w:rsid w:val="00B84646"/>
    <w:rsid w:val="00B84BAE"/>
    <w:rsid w:val="00B854C2"/>
    <w:rsid w:val="00B860DC"/>
    <w:rsid w:val="00B904DB"/>
    <w:rsid w:val="00B906FA"/>
    <w:rsid w:val="00B91602"/>
    <w:rsid w:val="00B92825"/>
    <w:rsid w:val="00B92B3B"/>
    <w:rsid w:val="00B93134"/>
    <w:rsid w:val="00B93816"/>
    <w:rsid w:val="00B94A7D"/>
    <w:rsid w:val="00B950AA"/>
    <w:rsid w:val="00B95C1B"/>
    <w:rsid w:val="00B96E5D"/>
    <w:rsid w:val="00B9770F"/>
    <w:rsid w:val="00BA0304"/>
    <w:rsid w:val="00BA082B"/>
    <w:rsid w:val="00BA3784"/>
    <w:rsid w:val="00BA40EA"/>
    <w:rsid w:val="00BA4A0F"/>
    <w:rsid w:val="00BA4E20"/>
    <w:rsid w:val="00BA4F58"/>
    <w:rsid w:val="00BA5D13"/>
    <w:rsid w:val="00BA64C5"/>
    <w:rsid w:val="00BA66FB"/>
    <w:rsid w:val="00BB0E49"/>
    <w:rsid w:val="00BB1202"/>
    <w:rsid w:val="00BB1EF8"/>
    <w:rsid w:val="00BB3A47"/>
    <w:rsid w:val="00BB3B26"/>
    <w:rsid w:val="00BB3D55"/>
    <w:rsid w:val="00BB403C"/>
    <w:rsid w:val="00BB4140"/>
    <w:rsid w:val="00BB4197"/>
    <w:rsid w:val="00BB461D"/>
    <w:rsid w:val="00BB4701"/>
    <w:rsid w:val="00BB4C45"/>
    <w:rsid w:val="00BB5BFC"/>
    <w:rsid w:val="00BB5EB1"/>
    <w:rsid w:val="00BB75B7"/>
    <w:rsid w:val="00BB78AD"/>
    <w:rsid w:val="00BB7CA2"/>
    <w:rsid w:val="00BC0183"/>
    <w:rsid w:val="00BC164A"/>
    <w:rsid w:val="00BC21EC"/>
    <w:rsid w:val="00BC2F60"/>
    <w:rsid w:val="00BC3350"/>
    <w:rsid w:val="00BC3C18"/>
    <w:rsid w:val="00BC5501"/>
    <w:rsid w:val="00BC55C8"/>
    <w:rsid w:val="00BC55F7"/>
    <w:rsid w:val="00BC68BC"/>
    <w:rsid w:val="00BC6E3A"/>
    <w:rsid w:val="00BC6FB5"/>
    <w:rsid w:val="00BC7434"/>
    <w:rsid w:val="00BC7BCE"/>
    <w:rsid w:val="00BD0B02"/>
    <w:rsid w:val="00BD1357"/>
    <w:rsid w:val="00BD1E2D"/>
    <w:rsid w:val="00BD2C81"/>
    <w:rsid w:val="00BD2F49"/>
    <w:rsid w:val="00BD4483"/>
    <w:rsid w:val="00BD4607"/>
    <w:rsid w:val="00BD4AA2"/>
    <w:rsid w:val="00BD4E66"/>
    <w:rsid w:val="00BD60AB"/>
    <w:rsid w:val="00BD6233"/>
    <w:rsid w:val="00BD7426"/>
    <w:rsid w:val="00BD79AE"/>
    <w:rsid w:val="00BE2D5E"/>
    <w:rsid w:val="00BE3C7B"/>
    <w:rsid w:val="00BE3D6A"/>
    <w:rsid w:val="00BE496B"/>
    <w:rsid w:val="00BE4D74"/>
    <w:rsid w:val="00BE54EE"/>
    <w:rsid w:val="00BE61C7"/>
    <w:rsid w:val="00BE6F2A"/>
    <w:rsid w:val="00BE7979"/>
    <w:rsid w:val="00BF1670"/>
    <w:rsid w:val="00BF2EA9"/>
    <w:rsid w:val="00BF5832"/>
    <w:rsid w:val="00BF6CFD"/>
    <w:rsid w:val="00BF6FE1"/>
    <w:rsid w:val="00C0044D"/>
    <w:rsid w:val="00C02EF3"/>
    <w:rsid w:val="00C050FF"/>
    <w:rsid w:val="00C060F5"/>
    <w:rsid w:val="00C0655B"/>
    <w:rsid w:val="00C10B34"/>
    <w:rsid w:val="00C111AD"/>
    <w:rsid w:val="00C112A7"/>
    <w:rsid w:val="00C117A6"/>
    <w:rsid w:val="00C11B75"/>
    <w:rsid w:val="00C134D5"/>
    <w:rsid w:val="00C1377A"/>
    <w:rsid w:val="00C13B20"/>
    <w:rsid w:val="00C15122"/>
    <w:rsid w:val="00C1667A"/>
    <w:rsid w:val="00C17FD1"/>
    <w:rsid w:val="00C2132A"/>
    <w:rsid w:val="00C21AFB"/>
    <w:rsid w:val="00C236B0"/>
    <w:rsid w:val="00C2392D"/>
    <w:rsid w:val="00C25F04"/>
    <w:rsid w:val="00C25FE6"/>
    <w:rsid w:val="00C260B7"/>
    <w:rsid w:val="00C26601"/>
    <w:rsid w:val="00C27C8D"/>
    <w:rsid w:val="00C31426"/>
    <w:rsid w:val="00C32CFC"/>
    <w:rsid w:val="00C3310E"/>
    <w:rsid w:val="00C3432B"/>
    <w:rsid w:val="00C37A14"/>
    <w:rsid w:val="00C40A4D"/>
    <w:rsid w:val="00C40CE2"/>
    <w:rsid w:val="00C41F91"/>
    <w:rsid w:val="00C43464"/>
    <w:rsid w:val="00C45C7C"/>
    <w:rsid w:val="00C45F77"/>
    <w:rsid w:val="00C46AAD"/>
    <w:rsid w:val="00C46DB0"/>
    <w:rsid w:val="00C47587"/>
    <w:rsid w:val="00C51F86"/>
    <w:rsid w:val="00C522DF"/>
    <w:rsid w:val="00C52313"/>
    <w:rsid w:val="00C5671D"/>
    <w:rsid w:val="00C577F7"/>
    <w:rsid w:val="00C57C3C"/>
    <w:rsid w:val="00C60852"/>
    <w:rsid w:val="00C61250"/>
    <w:rsid w:val="00C622CF"/>
    <w:rsid w:val="00C62431"/>
    <w:rsid w:val="00C62A15"/>
    <w:rsid w:val="00C62B4F"/>
    <w:rsid w:val="00C630B8"/>
    <w:rsid w:val="00C64F2F"/>
    <w:rsid w:val="00C65153"/>
    <w:rsid w:val="00C65B62"/>
    <w:rsid w:val="00C671D9"/>
    <w:rsid w:val="00C73E7B"/>
    <w:rsid w:val="00C75FCD"/>
    <w:rsid w:val="00C7679B"/>
    <w:rsid w:val="00C76F34"/>
    <w:rsid w:val="00C778B3"/>
    <w:rsid w:val="00C811FA"/>
    <w:rsid w:val="00C81BE7"/>
    <w:rsid w:val="00C835FB"/>
    <w:rsid w:val="00C83648"/>
    <w:rsid w:val="00C8392B"/>
    <w:rsid w:val="00C83A0C"/>
    <w:rsid w:val="00C83D6C"/>
    <w:rsid w:val="00C8486F"/>
    <w:rsid w:val="00C84EC7"/>
    <w:rsid w:val="00C852BE"/>
    <w:rsid w:val="00C86336"/>
    <w:rsid w:val="00C90259"/>
    <w:rsid w:val="00C90735"/>
    <w:rsid w:val="00C91A65"/>
    <w:rsid w:val="00CA415F"/>
    <w:rsid w:val="00CA442F"/>
    <w:rsid w:val="00CA455D"/>
    <w:rsid w:val="00CA46B8"/>
    <w:rsid w:val="00CA46FC"/>
    <w:rsid w:val="00CA4EA4"/>
    <w:rsid w:val="00CB07DF"/>
    <w:rsid w:val="00CB0A72"/>
    <w:rsid w:val="00CB21F7"/>
    <w:rsid w:val="00CB27BD"/>
    <w:rsid w:val="00CB2B35"/>
    <w:rsid w:val="00CB3F2B"/>
    <w:rsid w:val="00CB46B9"/>
    <w:rsid w:val="00CC248F"/>
    <w:rsid w:val="00CC315C"/>
    <w:rsid w:val="00CC3BE6"/>
    <w:rsid w:val="00CC4A86"/>
    <w:rsid w:val="00CC4D47"/>
    <w:rsid w:val="00CD0E59"/>
    <w:rsid w:val="00CD2985"/>
    <w:rsid w:val="00CD346F"/>
    <w:rsid w:val="00CD471E"/>
    <w:rsid w:val="00CD4B3F"/>
    <w:rsid w:val="00CD6A6A"/>
    <w:rsid w:val="00CE14C1"/>
    <w:rsid w:val="00CE42DC"/>
    <w:rsid w:val="00CE4B83"/>
    <w:rsid w:val="00CE52D6"/>
    <w:rsid w:val="00CE58BE"/>
    <w:rsid w:val="00CE6BCE"/>
    <w:rsid w:val="00CE6D99"/>
    <w:rsid w:val="00CE734E"/>
    <w:rsid w:val="00CF1057"/>
    <w:rsid w:val="00CF11A9"/>
    <w:rsid w:val="00CF2BF5"/>
    <w:rsid w:val="00CF349B"/>
    <w:rsid w:val="00CF34F1"/>
    <w:rsid w:val="00CF4873"/>
    <w:rsid w:val="00CF48FF"/>
    <w:rsid w:val="00CF68D0"/>
    <w:rsid w:val="00CF6AD7"/>
    <w:rsid w:val="00CF6BDB"/>
    <w:rsid w:val="00CF6C0C"/>
    <w:rsid w:val="00CF6E07"/>
    <w:rsid w:val="00CF7A87"/>
    <w:rsid w:val="00D0038D"/>
    <w:rsid w:val="00D013F6"/>
    <w:rsid w:val="00D01C2F"/>
    <w:rsid w:val="00D024ED"/>
    <w:rsid w:val="00D056E2"/>
    <w:rsid w:val="00D05CBF"/>
    <w:rsid w:val="00D05F96"/>
    <w:rsid w:val="00D06BB5"/>
    <w:rsid w:val="00D0779A"/>
    <w:rsid w:val="00D105EA"/>
    <w:rsid w:val="00D1133E"/>
    <w:rsid w:val="00D11703"/>
    <w:rsid w:val="00D11807"/>
    <w:rsid w:val="00D11934"/>
    <w:rsid w:val="00D11A9C"/>
    <w:rsid w:val="00D12484"/>
    <w:rsid w:val="00D13454"/>
    <w:rsid w:val="00D15B84"/>
    <w:rsid w:val="00D161D4"/>
    <w:rsid w:val="00D1693E"/>
    <w:rsid w:val="00D17D83"/>
    <w:rsid w:val="00D17E67"/>
    <w:rsid w:val="00D208D1"/>
    <w:rsid w:val="00D20F37"/>
    <w:rsid w:val="00D23903"/>
    <w:rsid w:val="00D23CD8"/>
    <w:rsid w:val="00D24208"/>
    <w:rsid w:val="00D2423C"/>
    <w:rsid w:val="00D25042"/>
    <w:rsid w:val="00D264A9"/>
    <w:rsid w:val="00D314A1"/>
    <w:rsid w:val="00D320AA"/>
    <w:rsid w:val="00D324E7"/>
    <w:rsid w:val="00D32DC1"/>
    <w:rsid w:val="00D33432"/>
    <w:rsid w:val="00D34E0F"/>
    <w:rsid w:val="00D352E7"/>
    <w:rsid w:val="00D3576E"/>
    <w:rsid w:val="00D363F3"/>
    <w:rsid w:val="00D40178"/>
    <w:rsid w:val="00D4038E"/>
    <w:rsid w:val="00D446E0"/>
    <w:rsid w:val="00D44AF5"/>
    <w:rsid w:val="00D4510B"/>
    <w:rsid w:val="00D452D6"/>
    <w:rsid w:val="00D501B5"/>
    <w:rsid w:val="00D50B38"/>
    <w:rsid w:val="00D50D8A"/>
    <w:rsid w:val="00D538EC"/>
    <w:rsid w:val="00D547F3"/>
    <w:rsid w:val="00D57218"/>
    <w:rsid w:val="00D57AE7"/>
    <w:rsid w:val="00D60B24"/>
    <w:rsid w:val="00D6107F"/>
    <w:rsid w:val="00D618C9"/>
    <w:rsid w:val="00D644ED"/>
    <w:rsid w:val="00D64D31"/>
    <w:rsid w:val="00D65281"/>
    <w:rsid w:val="00D65F4C"/>
    <w:rsid w:val="00D660DE"/>
    <w:rsid w:val="00D67805"/>
    <w:rsid w:val="00D67EE1"/>
    <w:rsid w:val="00D72D40"/>
    <w:rsid w:val="00D72DDF"/>
    <w:rsid w:val="00D734A0"/>
    <w:rsid w:val="00D7355B"/>
    <w:rsid w:val="00D739BE"/>
    <w:rsid w:val="00D73EE4"/>
    <w:rsid w:val="00D74537"/>
    <w:rsid w:val="00D7470B"/>
    <w:rsid w:val="00D764AA"/>
    <w:rsid w:val="00D766B1"/>
    <w:rsid w:val="00D770BB"/>
    <w:rsid w:val="00D77A58"/>
    <w:rsid w:val="00D80421"/>
    <w:rsid w:val="00D81203"/>
    <w:rsid w:val="00D8155D"/>
    <w:rsid w:val="00D81B8F"/>
    <w:rsid w:val="00D81E99"/>
    <w:rsid w:val="00D820FD"/>
    <w:rsid w:val="00D835E1"/>
    <w:rsid w:val="00D84829"/>
    <w:rsid w:val="00D84F0E"/>
    <w:rsid w:val="00D8524C"/>
    <w:rsid w:val="00D85C2D"/>
    <w:rsid w:val="00D87130"/>
    <w:rsid w:val="00D87B12"/>
    <w:rsid w:val="00D90BFB"/>
    <w:rsid w:val="00D928BA"/>
    <w:rsid w:val="00D94791"/>
    <w:rsid w:val="00D97374"/>
    <w:rsid w:val="00D97FB8"/>
    <w:rsid w:val="00DA0690"/>
    <w:rsid w:val="00DA1007"/>
    <w:rsid w:val="00DA1365"/>
    <w:rsid w:val="00DA2059"/>
    <w:rsid w:val="00DA279D"/>
    <w:rsid w:val="00DA2ACC"/>
    <w:rsid w:val="00DA2E71"/>
    <w:rsid w:val="00DA2FA5"/>
    <w:rsid w:val="00DA5406"/>
    <w:rsid w:val="00DA5BE8"/>
    <w:rsid w:val="00DA5ED4"/>
    <w:rsid w:val="00DA64E8"/>
    <w:rsid w:val="00DB268A"/>
    <w:rsid w:val="00DB4FC9"/>
    <w:rsid w:val="00DB591E"/>
    <w:rsid w:val="00DB5D24"/>
    <w:rsid w:val="00DB5F60"/>
    <w:rsid w:val="00DB69C3"/>
    <w:rsid w:val="00DB764B"/>
    <w:rsid w:val="00DC0133"/>
    <w:rsid w:val="00DC1E11"/>
    <w:rsid w:val="00DC35CA"/>
    <w:rsid w:val="00DC3616"/>
    <w:rsid w:val="00DC3754"/>
    <w:rsid w:val="00DC3F9E"/>
    <w:rsid w:val="00DC448F"/>
    <w:rsid w:val="00DC5D3F"/>
    <w:rsid w:val="00DC612D"/>
    <w:rsid w:val="00DC67DC"/>
    <w:rsid w:val="00DC7C91"/>
    <w:rsid w:val="00DD0236"/>
    <w:rsid w:val="00DD07D9"/>
    <w:rsid w:val="00DD0D8B"/>
    <w:rsid w:val="00DD25C1"/>
    <w:rsid w:val="00DD2ACC"/>
    <w:rsid w:val="00DD4E0E"/>
    <w:rsid w:val="00DD534A"/>
    <w:rsid w:val="00DD657E"/>
    <w:rsid w:val="00DD6D71"/>
    <w:rsid w:val="00DD7982"/>
    <w:rsid w:val="00DD7F07"/>
    <w:rsid w:val="00DE1033"/>
    <w:rsid w:val="00DE26F3"/>
    <w:rsid w:val="00DE28E1"/>
    <w:rsid w:val="00DE2A57"/>
    <w:rsid w:val="00DE3DE8"/>
    <w:rsid w:val="00DE4063"/>
    <w:rsid w:val="00DE70C9"/>
    <w:rsid w:val="00DF0F46"/>
    <w:rsid w:val="00DF1A93"/>
    <w:rsid w:val="00DF202A"/>
    <w:rsid w:val="00DF5E5A"/>
    <w:rsid w:val="00DF5FF2"/>
    <w:rsid w:val="00DF6442"/>
    <w:rsid w:val="00DF715B"/>
    <w:rsid w:val="00E01D63"/>
    <w:rsid w:val="00E031CF"/>
    <w:rsid w:val="00E04ECF"/>
    <w:rsid w:val="00E11B41"/>
    <w:rsid w:val="00E11BC3"/>
    <w:rsid w:val="00E123F9"/>
    <w:rsid w:val="00E12A21"/>
    <w:rsid w:val="00E15D9D"/>
    <w:rsid w:val="00E15F46"/>
    <w:rsid w:val="00E215EF"/>
    <w:rsid w:val="00E21D85"/>
    <w:rsid w:val="00E22634"/>
    <w:rsid w:val="00E237A4"/>
    <w:rsid w:val="00E23ECB"/>
    <w:rsid w:val="00E2441B"/>
    <w:rsid w:val="00E248C7"/>
    <w:rsid w:val="00E25A4D"/>
    <w:rsid w:val="00E266D6"/>
    <w:rsid w:val="00E30665"/>
    <w:rsid w:val="00E30E6B"/>
    <w:rsid w:val="00E31759"/>
    <w:rsid w:val="00E31AA4"/>
    <w:rsid w:val="00E33411"/>
    <w:rsid w:val="00E337DC"/>
    <w:rsid w:val="00E33F4F"/>
    <w:rsid w:val="00E3428B"/>
    <w:rsid w:val="00E342C8"/>
    <w:rsid w:val="00E34CEE"/>
    <w:rsid w:val="00E34CF0"/>
    <w:rsid w:val="00E34EBB"/>
    <w:rsid w:val="00E4077F"/>
    <w:rsid w:val="00E407B4"/>
    <w:rsid w:val="00E408B8"/>
    <w:rsid w:val="00E414D7"/>
    <w:rsid w:val="00E429CE"/>
    <w:rsid w:val="00E438CC"/>
    <w:rsid w:val="00E4489A"/>
    <w:rsid w:val="00E44AB4"/>
    <w:rsid w:val="00E44F15"/>
    <w:rsid w:val="00E45487"/>
    <w:rsid w:val="00E4608F"/>
    <w:rsid w:val="00E46FE9"/>
    <w:rsid w:val="00E473AB"/>
    <w:rsid w:val="00E47400"/>
    <w:rsid w:val="00E50047"/>
    <w:rsid w:val="00E50550"/>
    <w:rsid w:val="00E5309E"/>
    <w:rsid w:val="00E53503"/>
    <w:rsid w:val="00E5360A"/>
    <w:rsid w:val="00E56E14"/>
    <w:rsid w:val="00E572B2"/>
    <w:rsid w:val="00E609BE"/>
    <w:rsid w:val="00E62598"/>
    <w:rsid w:val="00E6289C"/>
    <w:rsid w:val="00E6294E"/>
    <w:rsid w:val="00E6335A"/>
    <w:rsid w:val="00E66A1A"/>
    <w:rsid w:val="00E66CA5"/>
    <w:rsid w:val="00E67318"/>
    <w:rsid w:val="00E67507"/>
    <w:rsid w:val="00E6797D"/>
    <w:rsid w:val="00E67ECF"/>
    <w:rsid w:val="00E71D13"/>
    <w:rsid w:val="00E73DDB"/>
    <w:rsid w:val="00E74E5C"/>
    <w:rsid w:val="00E75528"/>
    <w:rsid w:val="00E75DF7"/>
    <w:rsid w:val="00E7791F"/>
    <w:rsid w:val="00E77F8F"/>
    <w:rsid w:val="00E80736"/>
    <w:rsid w:val="00E8147C"/>
    <w:rsid w:val="00E82126"/>
    <w:rsid w:val="00E830F6"/>
    <w:rsid w:val="00E8777E"/>
    <w:rsid w:val="00E923C8"/>
    <w:rsid w:val="00E948C8"/>
    <w:rsid w:val="00E94B6D"/>
    <w:rsid w:val="00E95E80"/>
    <w:rsid w:val="00E96744"/>
    <w:rsid w:val="00E96CC9"/>
    <w:rsid w:val="00EA1BCA"/>
    <w:rsid w:val="00EA1F66"/>
    <w:rsid w:val="00EA2D08"/>
    <w:rsid w:val="00EA2E17"/>
    <w:rsid w:val="00EA2E47"/>
    <w:rsid w:val="00EA3A50"/>
    <w:rsid w:val="00EA4DC8"/>
    <w:rsid w:val="00EA585A"/>
    <w:rsid w:val="00EA5F90"/>
    <w:rsid w:val="00EA7928"/>
    <w:rsid w:val="00EB1344"/>
    <w:rsid w:val="00EB4502"/>
    <w:rsid w:val="00EB5A60"/>
    <w:rsid w:val="00EB6867"/>
    <w:rsid w:val="00EB6998"/>
    <w:rsid w:val="00EB6A3C"/>
    <w:rsid w:val="00EB7C5D"/>
    <w:rsid w:val="00EC0C3F"/>
    <w:rsid w:val="00EC140B"/>
    <w:rsid w:val="00EC30DD"/>
    <w:rsid w:val="00EC62E9"/>
    <w:rsid w:val="00EC73E2"/>
    <w:rsid w:val="00ED027E"/>
    <w:rsid w:val="00ED0F8F"/>
    <w:rsid w:val="00ED0FE1"/>
    <w:rsid w:val="00ED1382"/>
    <w:rsid w:val="00ED292A"/>
    <w:rsid w:val="00ED3E23"/>
    <w:rsid w:val="00ED6005"/>
    <w:rsid w:val="00ED6F6E"/>
    <w:rsid w:val="00EE04A0"/>
    <w:rsid w:val="00EE16C0"/>
    <w:rsid w:val="00EE1CAC"/>
    <w:rsid w:val="00EE1E46"/>
    <w:rsid w:val="00EE2634"/>
    <w:rsid w:val="00EE3D5D"/>
    <w:rsid w:val="00EE3F26"/>
    <w:rsid w:val="00EE48CF"/>
    <w:rsid w:val="00EE5FF0"/>
    <w:rsid w:val="00EE655A"/>
    <w:rsid w:val="00EE6864"/>
    <w:rsid w:val="00EF0DCF"/>
    <w:rsid w:val="00EF1D97"/>
    <w:rsid w:val="00EF213B"/>
    <w:rsid w:val="00EF2C87"/>
    <w:rsid w:val="00EF2FF3"/>
    <w:rsid w:val="00EF3179"/>
    <w:rsid w:val="00EF47E7"/>
    <w:rsid w:val="00EF4D4F"/>
    <w:rsid w:val="00EF5DA7"/>
    <w:rsid w:val="00EF76B5"/>
    <w:rsid w:val="00F04E8B"/>
    <w:rsid w:val="00F04EFB"/>
    <w:rsid w:val="00F05222"/>
    <w:rsid w:val="00F057EF"/>
    <w:rsid w:val="00F06130"/>
    <w:rsid w:val="00F076A2"/>
    <w:rsid w:val="00F11582"/>
    <w:rsid w:val="00F11A54"/>
    <w:rsid w:val="00F12723"/>
    <w:rsid w:val="00F1293B"/>
    <w:rsid w:val="00F13205"/>
    <w:rsid w:val="00F13E84"/>
    <w:rsid w:val="00F146A1"/>
    <w:rsid w:val="00F14D0C"/>
    <w:rsid w:val="00F14D50"/>
    <w:rsid w:val="00F156A1"/>
    <w:rsid w:val="00F16C8B"/>
    <w:rsid w:val="00F17C10"/>
    <w:rsid w:val="00F20AF0"/>
    <w:rsid w:val="00F21FD9"/>
    <w:rsid w:val="00F22952"/>
    <w:rsid w:val="00F22CF7"/>
    <w:rsid w:val="00F24579"/>
    <w:rsid w:val="00F24670"/>
    <w:rsid w:val="00F24C96"/>
    <w:rsid w:val="00F2577E"/>
    <w:rsid w:val="00F27443"/>
    <w:rsid w:val="00F27817"/>
    <w:rsid w:val="00F27C91"/>
    <w:rsid w:val="00F3093E"/>
    <w:rsid w:val="00F31560"/>
    <w:rsid w:val="00F31D85"/>
    <w:rsid w:val="00F32D01"/>
    <w:rsid w:val="00F346FA"/>
    <w:rsid w:val="00F34C9F"/>
    <w:rsid w:val="00F34CF9"/>
    <w:rsid w:val="00F358C0"/>
    <w:rsid w:val="00F35E49"/>
    <w:rsid w:val="00F36199"/>
    <w:rsid w:val="00F3620B"/>
    <w:rsid w:val="00F36CF2"/>
    <w:rsid w:val="00F3775A"/>
    <w:rsid w:val="00F40707"/>
    <w:rsid w:val="00F4072F"/>
    <w:rsid w:val="00F4215A"/>
    <w:rsid w:val="00F4305A"/>
    <w:rsid w:val="00F4409E"/>
    <w:rsid w:val="00F451A5"/>
    <w:rsid w:val="00F4629B"/>
    <w:rsid w:val="00F52914"/>
    <w:rsid w:val="00F52976"/>
    <w:rsid w:val="00F52E4A"/>
    <w:rsid w:val="00F53022"/>
    <w:rsid w:val="00F548FF"/>
    <w:rsid w:val="00F54B41"/>
    <w:rsid w:val="00F5727A"/>
    <w:rsid w:val="00F57737"/>
    <w:rsid w:val="00F578C0"/>
    <w:rsid w:val="00F57B52"/>
    <w:rsid w:val="00F60AE0"/>
    <w:rsid w:val="00F620DD"/>
    <w:rsid w:val="00F62218"/>
    <w:rsid w:val="00F628AC"/>
    <w:rsid w:val="00F63037"/>
    <w:rsid w:val="00F64286"/>
    <w:rsid w:val="00F67B8B"/>
    <w:rsid w:val="00F70AAC"/>
    <w:rsid w:val="00F71C06"/>
    <w:rsid w:val="00F724DF"/>
    <w:rsid w:val="00F7276E"/>
    <w:rsid w:val="00F73205"/>
    <w:rsid w:val="00F7323F"/>
    <w:rsid w:val="00F735A7"/>
    <w:rsid w:val="00F75835"/>
    <w:rsid w:val="00F75AD0"/>
    <w:rsid w:val="00F75F80"/>
    <w:rsid w:val="00F77AE1"/>
    <w:rsid w:val="00F803A7"/>
    <w:rsid w:val="00F827F5"/>
    <w:rsid w:val="00F84527"/>
    <w:rsid w:val="00F85688"/>
    <w:rsid w:val="00F857EE"/>
    <w:rsid w:val="00F863CB"/>
    <w:rsid w:val="00F87B21"/>
    <w:rsid w:val="00F901DE"/>
    <w:rsid w:val="00F902AA"/>
    <w:rsid w:val="00F902C3"/>
    <w:rsid w:val="00F90629"/>
    <w:rsid w:val="00F91A65"/>
    <w:rsid w:val="00F942F9"/>
    <w:rsid w:val="00F951F4"/>
    <w:rsid w:val="00F95BF4"/>
    <w:rsid w:val="00F95D23"/>
    <w:rsid w:val="00FA1877"/>
    <w:rsid w:val="00FA2E4E"/>
    <w:rsid w:val="00FA3FD6"/>
    <w:rsid w:val="00FA54CF"/>
    <w:rsid w:val="00FA58BB"/>
    <w:rsid w:val="00FA7870"/>
    <w:rsid w:val="00FB0C16"/>
    <w:rsid w:val="00FB3A4E"/>
    <w:rsid w:val="00FB3D9C"/>
    <w:rsid w:val="00FB3FF8"/>
    <w:rsid w:val="00FB4E4A"/>
    <w:rsid w:val="00FB71BD"/>
    <w:rsid w:val="00FB71D0"/>
    <w:rsid w:val="00FB747D"/>
    <w:rsid w:val="00FB7B9F"/>
    <w:rsid w:val="00FC246E"/>
    <w:rsid w:val="00FC48CA"/>
    <w:rsid w:val="00FC6B39"/>
    <w:rsid w:val="00FD04F4"/>
    <w:rsid w:val="00FD2445"/>
    <w:rsid w:val="00FD5827"/>
    <w:rsid w:val="00FE05AD"/>
    <w:rsid w:val="00FE0768"/>
    <w:rsid w:val="00FE1CF8"/>
    <w:rsid w:val="00FE21D1"/>
    <w:rsid w:val="00FE2246"/>
    <w:rsid w:val="00FE2A2C"/>
    <w:rsid w:val="00FE397A"/>
    <w:rsid w:val="00FE6B0B"/>
    <w:rsid w:val="00FE6E5B"/>
    <w:rsid w:val="00FE71E4"/>
    <w:rsid w:val="00FE77FA"/>
    <w:rsid w:val="00FE7F23"/>
    <w:rsid w:val="00FF00BF"/>
    <w:rsid w:val="00FF01B4"/>
    <w:rsid w:val="00FF17E5"/>
    <w:rsid w:val="00FF1B67"/>
    <w:rsid w:val="00FF46CF"/>
    <w:rsid w:val="00FF4CCE"/>
    <w:rsid w:val="00FF56B6"/>
    <w:rsid w:val="00FF7AC3"/>
    <w:rsid w:val="010F155C"/>
    <w:rsid w:val="015A5FCB"/>
    <w:rsid w:val="017C3041"/>
    <w:rsid w:val="02B15A7F"/>
    <w:rsid w:val="03F709F0"/>
    <w:rsid w:val="042E6693"/>
    <w:rsid w:val="04417C98"/>
    <w:rsid w:val="046113C7"/>
    <w:rsid w:val="047F2574"/>
    <w:rsid w:val="052936F4"/>
    <w:rsid w:val="060E5838"/>
    <w:rsid w:val="067E44C5"/>
    <w:rsid w:val="08B25998"/>
    <w:rsid w:val="0BD053F1"/>
    <w:rsid w:val="0DF40C4D"/>
    <w:rsid w:val="0E440FFC"/>
    <w:rsid w:val="0F1975AF"/>
    <w:rsid w:val="11CB7E72"/>
    <w:rsid w:val="15972072"/>
    <w:rsid w:val="159F6950"/>
    <w:rsid w:val="164C3629"/>
    <w:rsid w:val="181149FE"/>
    <w:rsid w:val="19B45E3F"/>
    <w:rsid w:val="19FF7CF5"/>
    <w:rsid w:val="1A3E4916"/>
    <w:rsid w:val="1A496C7E"/>
    <w:rsid w:val="1A7A76A8"/>
    <w:rsid w:val="1B163EB5"/>
    <w:rsid w:val="1B3A083C"/>
    <w:rsid w:val="1B62120E"/>
    <w:rsid w:val="1B793AD3"/>
    <w:rsid w:val="1D6C5981"/>
    <w:rsid w:val="1D8E5C00"/>
    <w:rsid w:val="1F3735A3"/>
    <w:rsid w:val="1F3C71D6"/>
    <w:rsid w:val="1F706FD9"/>
    <w:rsid w:val="1F871EC7"/>
    <w:rsid w:val="1F9A7049"/>
    <w:rsid w:val="20002A0A"/>
    <w:rsid w:val="236F5F15"/>
    <w:rsid w:val="26167DD9"/>
    <w:rsid w:val="26A565F6"/>
    <w:rsid w:val="27966561"/>
    <w:rsid w:val="295C2C0A"/>
    <w:rsid w:val="2A3962DB"/>
    <w:rsid w:val="2B205B8C"/>
    <w:rsid w:val="2C7E62FE"/>
    <w:rsid w:val="2C9802F5"/>
    <w:rsid w:val="2E740531"/>
    <w:rsid w:val="2F280766"/>
    <w:rsid w:val="302E5463"/>
    <w:rsid w:val="30390DF5"/>
    <w:rsid w:val="30395C43"/>
    <w:rsid w:val="3075320B"/>
    <w:rsid w:val="318C7864"/>
    <w:rsid w:val="32A479AA"/>
    <w:rsid w:val="32EE1F5A"/>
    <w:rsid w:val="3375307E"/>
    <w:rsid w:val="33FF3144"/>
    <w:rsid w:val="343711B2"/>
    <w:rsid w:val="343D0CB3"/>
    <w:rsid w:val="35B03EF2"/>
    <w:rsid w:val="36EF76AE"/>
    <w:rsid w:val="377B4B18"/>
    <w:rsid w:val="38523234"/>
    <w:rsid w:val="38677902"/>
    <w:rsid w:val="38687E8D"/>
    <w:rsid w:val="3A70688C"/>
    <w:rsid w:val="3CD10772"/>
    <w:rsid w:val="3D8C7E50"/>
    <w:rsid w:val="3E715B51"/>
    <w:rsid w:val="4035448E"/>
    <w:rsid w:val="403834F1"/>
    <w:rsid w:val="434A3AC9"/>
    <w:rsid w:val="44A42C93"/>
    <w:rsid w:val="4591091D"/>
    <w:rsid w:val="45B43F68"/>
    <w:rsid w:val="461B2DA6"/>
    <w:rsid w:val="47576B78"/>
    <w:rsid w:val="47C129E4"/>
    <w:rsid w:val="49935143"/>
    <w:rsid w:val="4A7752A6"/>
    <w:rsid w:val="4AAC607A"/>
    <w:rsid w:val="4BF401EA"/>
    <w:rsid w:val="4C4E35D3"/>
    <w:rsid w:val="4CCD3742"/>
    <w:rsid w:val="4DEF4038"/>
    <w:rsid w:val="52BD7ECA"/>
    <w:rsid w:val="533A36DF"/>
    <w:rsid w:val="541F5589"/>
    <w:rsid w:val="55342E0A"/>
    <w:rsid w:val="55865C7A"/>
    <w:rsid w:val="565D7F3C"/>
    <w:rsid w:val="56693287"/>
    <w:rsid w:val="57583F51"/>
    <w:rsid w:val="58226C06"/>
    <w:rsid w:val="59465D6E"/>
    <w:rsid w:val="5B374C03"/>
    <w:rsid w:val="5C121CEC"/>
    <w:rsid w:val="5D5C75CC"/>
    <w:rsid w:val="5DDC1B84"/>
    <w:rsid w:val="5E2553B1"/>
    <w:rsid w:val="5FF901B0"/>
    <w:rsid w:val="606A1C99"/>
    <w:rsid w:val="666B03E6"/>
    <w:rsid w:val="669F4B07"/>
    <w:rsid w:val="66C33783"/>
    <w:rsid w:val="676773D5"/>
    <w:rsid w:val="67955D55"/>
    <w:rsid w:val="69E031F6"/>
    <w:rsid w:val="6BB6394C"/>
    <w:rsid w:val="6C426C0C"/>
    <w:rsid w:val="6C69216D"/>
    <w:rsid w:val="6DA27D0C"/>
    <w:rsid w:val="6F5472E8"/>
    <w:rsid w:val="6FAB57D8"/>
    <w:rsid w:val="712A4DD0"/>
    <w:rsid w:val="7281753E"/>
    <w:rsid w:val="741D2D88"/>
    <w:rsid w:val="75432226"/>
    <w:rsid w:val="755E7824"/>
    <w:rsid w:val="757012BB"/>
    <w:rsid w:val="75947B44"/>
    <w:rsid w:val="77967447"/>
    <w:rsid w:val="77A37F47"/>
    <w:rsid w:val="79A65C45"/>
    <w:rsid w:val="79CB17AA"/>
    <w:rsid w:val="7A2E1AE8"/>
    <w:rsid w:val="7BC0137F"/>
    <w:rsid w:val="7D96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jc w:val="left"/>
      <w:outlineLvl w:val="0"/>
    </w:pPr>
    <w:rPr>
      <w:b/>
      <w:bCs/>
      <w:sz w:val="30"/>
      <w:szCs w:val="20"/>
    </w:rPr>
  </w:style>
  <w:style w:type="paragraph" w:styleId="4">
    <w:name w:val="heading 2"/>
    <w:basedOn w:val="1"/>
    <w:next w:val="1"/>
    <w:link w:val="88"/>
    <w:qFormat/>
    <w:uiPriority w:val="0"/>
    <w:pPr>
      <w:keepNext/>
      <w:keepLines/>
      <w:jc w:val="left"/>
      <w:outlineLvl w:val="1"/>
    </w:pPr>
    <w:rPr>
      <w:b/>
      <w:bCs/>
      <w:sz w:val="28"/>
      <w:szCs w:val="32"/>
    </w:rPr>
  </w:style>
  <w:style w:type="paragraph" w:styleId="5">
    <w:name w:val="heading 3"/>
    <w:basedOn w:val="1"/>
    <w:next w:val="1"/>
    <w:link w:val="72"/>
    <w:qFormat/>
    <w:uiPriority w:val="0"/>
    <w:pPr>
      <w:keepNext/>
      <w:keepLines/>
      <w:spacing w:before="260" w:after="260"/>
      <w:jc w:val="left"/>
      <w:outlineLvl w:val="2"/>
    </w:pPr>
    <w:rPr>
      <w:b/>
      <w:bCs/>
      <w:sz w:val="24"/>
      <w:szCs w:val="32"/>
    </w:rPr>
  </w:style>
  <w:style w:type="paragraph" w:styleId="6">
    <w:name w:val="heading 4"/>
    <w:basedOn w:val="1"/>
    <w:next w:val="1"/>
    <w:link w:val="9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68"/>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78"/>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94"/>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9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0">
    <w:name w:val="Default Paragraph Font"/>
    <w:semiHidden/>
    <w:unhideWhenUsed/>
    <w:qFormat/>
    <w:uiPriority w:val="1"/>
  </w:style>
  <w:style w:type="table" w:default="1" w:styleId="6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ind w:firstLine="720"/>
      <w:jc w:val="left"/>
    </w:pPr>
    <w:rPr>
      <w:sz w:val="24"/>
    </w:rPr>
  </w:style>
  <w:style w:type="paragraph" w:styleId="12">
    <w:name w:val="annotation subject"/>
    <w:basedOn w:val="13"/>
    <w:next w:val="13"/>
    <w:link w:val="96"/>
    <w:qFormat/>
    <w:uiPriority w:val="0"/>
    <w:rPr>
      <w:b/>
      <w:bCs/>
    </w:rPr>
  </w:style>
  <w:style w:type="paragraph" w:styleId="13">
    <w:name w:val="annotation text"/>
    <w:basedOn w:val="1"/>
    <w:link w:val="71"/>
    <w:semiHidden/>
    <w:qFormat/>
    <w:uiPriority w:val="0"/>
    <w:pPr>
      <w:jc w:val="left"/>
    </w:pPr>
  </w:style>
  <w:style w:type="paragraph" w:styleId="14">
    <w:name w:val="toc 7"/>
    <w:basedOn w:val="1"/>
    <w:next w:val="1"/>
    <w:qFormat/>
    <w:uiPriority w:val="0"/>
    <w:pPr>
      <w:ind w:left="2520" w:leftChars="1200"/>
    </w:pPr>
    <w:rPr>
      <w:rFonts w:ascii="Calibri" w:hAnsi="Calibri"/>
      <w:szCs w:val="22"/>
    </w:rPr>
  </w:style>
  <w:style w:type="paragraph" w:styleId="15">
    <w:name w:val="Body Text First Indent"/>
    <w:basedOn w:val="1"/>
    <w:link w:val="162"/>
    <w:qFormat/>
    <w:uiPriority w:val="0"/>
    <w:pPr>
      <w:autoSpaceDE w:val="0"/>
      <w:autoSpaceDN w:val="0"/>
      <w:adjustRightInd w:val="0"/>
      <w:spacing w:before="72" w:after="48" w:line="306" w:lineRule="exact"/>
      <w:ind w:firstLine="454" w:firstLineChars="200"/>
      <w:jc w:val="left"/>
    </w:pPr>
    <w:rPr>
      <w:sz w:val="24"/>
    </w:rPr>
  </w:style>
  <w:style w:type="paragraph" w:styleId="16">
    <w:name w:val="List Number 2"/>
    <w:basedOn w:val="1"/>
    <w:qFormat/>
    <w:uiPriority w:val="0"/>
    <w:pPr>
      <w:tabs>
        <w:tab w:val="left" w:pos="780"/>
      </w:tabs>
      <w:ind w:left="780" w:leftChars="200" w:hanging="360" w:hangingChars="200"/>
      <w:jc w:val="left"/>
    </w:pPr>
    <w:rPr>
      <w:sz w:val="24"/>
    </w:rPr>
  </w:style>
  <w:style w:type="paragraph" w:styleId="17">
    <w:name w:val="table of authorities"/>
    <w:basedOn w:val="1"/>
    <w:next w:val="1"/>
    <w:unhideWhenUsed/>
    <w:qFormat/>
    <w:uiPriority w:val="99"/>
    <w:pPr>
      <w:ind w:left="420" w:leftChars="200"/>
    </w:pPr>
  </w:style>
  <w:style w:type="paragraph" w:styleId="18">
    <w:name w:val="List Number"/>
    <w:basedOn w:val="1"/>
    <w:qFormat/>
    <w:uiPriority w:val="0"/>
    <w:pPr>
      <w:widowControl/>
      <w:tabs>
        <w:tab w:val="left" w:pos="1050"/>
      </w:tabs>
      <w:ind w:left="1050" w:hanging="450" w:firstLineChars="200"/>
      <w:jc w:val="left"/>
    </w:pPr>
    <w:rPr>
      <w:kern w:val="0"/>
      <w:sz w:val="20"/>
      <w:szCs w:val="20"/>
    </w:rPr>
  </w:style>
  <w:style w:type="paragraph" w:styleId="19">
    <w:name w:val="Normal Indent"/>
    <w:basedOn w:val="1"/>
    <w:link w:val="158"/>
    <w:qFormat/>
    <w:uiPriority w:val="0"/>
    <w:pPr>
      <w:widowControl/>
      <w:ind w:firstLine="420"/>
      <w:jc w:val="left"/>
    </w:pPr>
    <w:rPr>
      <w:kern w:val="0"/>
      <w:sz w:val="20"/>
      <w:szCs w:val="20"/>
    </w:rPr>
  </w:style>
  <w:style w:type="paragraph" w:styleId="20">
    <w:name w:val="caption"/>
    <w:basedOn w:val="1"/>
    <w:next w:val="1"/>
    <w:link w:val="219"/>
    <w:qFormat/>
    <w:uiPriority w:val="0"/>
    <w:pPr>
      <w:ind w:firstLine="200" w:firstLineChars="200"/>
      <w:jc w:val="left"/>
    </w:pPr>
    <w:rPr>
      <w:rFonts w:ascii="Arial" w:hAnsi="Arial" w:eastAsia="黑体"/>
      <w:sz w:val="20"/>
      <w:szCs w:val="20"/>
    </w:rPr>
  </w:style>
  <w:style w:type="paragraph" w:styleId="21">
    <w:name w:val="Document Map"/>
    <w:basedOn w:val="1"/>
    <w:link w:val="260"/>
    <w:semiHidden/>
    <w:qFormat/>
    <w:uiPriority w:val="0"/>
    <w:pPr>
      <w:shd w:val="clear" w:color="auto" w:fill="000080"/>
    </w:pPr>
  </w:style>
  <w:style w:type="paragraph" w:styleId="22">
    <w:name w:val="Salutation"/>
    <w:basedOn w:val="1"/>
    <w:next w:val="1"/>
    <w:link w:val="649"/>
    <w:qFormat/>
    <w:uiPriority w:val="0"/>
    <w:rPr>
      <w:rFonts w:ascii="仿宋_GB2312" w:eastAsia="仿宋_GB2312"/>
      <w:sz w:val="24"/>
    </w:rPr>
  </w:style>
  <w:style w:type="paragraph" w:styleId="23">
    <w:name w:val="Body Text 3"/>
    <w:basedOn w:val="1"/>
    <w:link w:val="650"/>
    <w:qFormat/>
    <w:uiPriority w:val="0"/>
    <w:pPr>
      <w:autoSpaceDE w:val="0"/>
      <w:autoSpaceDN w:val="0"/>
      <w:adjustRightInd w:val="0"/>
      <w:spacing w:line="410" w:lineRule="atLeast"/>
      <w:jc w:val="left"/>
    </w:pPr>
    <w:rPr>
      <w:rFonts w:ascii="宋体"/>
      <w:color w:val="000000"/>
      <w:kern w:val="0"/>
      <w:sz w:val="24"/>
      <w:szCs w:val="20"/>
    </w:rPr>
  </w:style>
  <w:style w:type="paragraph" w:styleId="24">
    <w:name w:val="Body Text"/>
    <w:basedOn w:val="1"/>
    <w:link w:val="161"/>
    <w:qFormat/>
    <w:uiPriority w:val="0"/>
    <w:pPr>
      <w:spacing w:after="120"/>
    </w:pPr>
  </w:style>
  <w:style w:type="paragraph" w:styleId="25">
    <w:name w:val="Body Text Indent"/>
    <w:basedOn w:val="1"/>
    <w:link w:val="92"/>
    <w:qFormat/>
    <w:uiPriority w:val="0"/>
    <w:pPr>
      <w:spacing w:after="120"/>
      <w:ind w:left="420" w:leftChars="200"/>
    </w:pPr>
  </w:style>
  <w:style w:type="paragraph" w:styleId="26">
    <w:name w:val="Block Text"/>
    <w:basedOn w:val="1"/>
    <w:qFormat/>
    <w:uiPriority w:val="0"/>
    <w:pPr>
      <w:ind w:left="1171" w:right="91" w:hanging="1080"/>
    </w:pPr>
    <w:rPr>
      <w:rFonts w:eastAsia="楷体_GB2312"/>
      <w:szCs w:val="20"/>
    </w:rPr>
  </w:style>
  <w:style w:type="paragraph" w:styleId="27">
    <w:name w:val="toc 5"/>
    <w:basedOn w:val="1"/>
    <w:next w:val="1"/>
    <w:qFormat/>
    <w:uiPriority w:val="0"/>
    <w:pPr>
      <w:ind w:left="1680" w:leftChars="800"/>
    </w:pPr>
    <w:rPr>
      <w:rFonts w:ascii="Calibri" w:hAnsi="Calibri"/>
      <w:szCs w:val="22"/>
    </w:rPr>
  </w:style>
  <w:style w:type="paragraph" w:styleId="28">
    <w:name w:val="toc 3"/>
    <w:basedOn w:val="1"/>
    <w:next w:val="1"/>
    <w:qFormat/>
    <w:uiPriority w:val="39"/>
    <w:pPr>
      <w:ind w:left="840" w:leftChars="400"/>
    </w:pPr>
  </w:style>
  <w:style w:type="paragraph" w:styleId="29">
    <w:name w:val="Plain Text"/>
    <w:basedOn w:val="1"/>
    <w:link w:val="100"/>
    <w:qFormat/>
    <w:uiPriority w:val="0"/>
    <w:rPr>
      <w:rFonts w:ascii="宋体" w:hAnsi="Courier New" w:cs="Courier New"/>
      <w:szCs w:val="21"/>
    </w:rPr>
  </w:style>
  <w:style w:type="paragraph" w:styleId="30">
    <w:name w:val="toc 8"/>
    <w:basedOn w:val="1"/>
    <w:next w:val="1"/>
    <w:qFormat/>
    <w:uiPriority w:val="0"/>
    <w:pPr>
      <w:ind w:left="2940" w:leftChars="1400"/>
    </w:pPr>
    <w:rPr>
      <w:rFonts w:ascii="Calibri" w:hAnsi="Calibri"/>
      <w:szCs w:val="22"/>
    </w:rPr>
  </w:style>
  <w:style w:type="paragraph" w:styleId="31">
    <w:name w:val="Date"/>
    <w:basedOn w:val="1"/>
    <w:next w:val="1"/>
    <w:link w:val="101"/>
    <w:qFormat/>
    <w:uiPriority w:val="99"/>
    <w:rPr>
      <w:sz w:val="24"/>
      <w:szCs w:val="20"/>
    </w:rPr>
  </w:style>
  <w:style w:type="paragraph" w:styleId="32">
    <w:name w:val="Body Text Indent 2"/>
    <w:basedOn w:val="1"/>
    <w:link w:val="251"/>
    <w:qFormat/>
    <w:uiPriority w:val="0"/>
    <w:pPr>
      <w:spacing w:after="120" w:line="480" w:lineRule="auto"/>
      <w:ind w:left="420" w:leftChars="200"/>
    </w:pPr>
  </w:style>
  <w:style w:type="paragraph" w:styleId="33">
    <w:name w:val="Balloon Text"/>
    <w:basedOn w:val="1"/>
    <w:link w:val="66"/>
    <w:qFormat/>
    <w:uiPriority w:val="0"/>
    <w:rPr>
      <w:rFonts w:ascii="Calibri" w:hAnsi="Calibri"/>
      <w:sz w:val="18"/>
      <w:szCs w:val="18"/>
    </w:rPr>
  </w:style>
  <w:style w:type="paragraph" w:styleId="34">
    <w:name w:val="footer"/>
    <w:basedOn w:val="1"/>
    <w:link w:val="85"/>
    <w:qFormat/>
    <w:uiPriority w:val="99"/>
    <w:pPr>
      <w:tabs>
        <w:tab w:val="center" w:pos="4153"/>
        <w:tab w:val="right" w:pos="8306"/>
      </w:tabs>
      <w:snapToGrid w:val="0"/>
      <w:jc w:val="left"/>
    </w:pPr>
    <w:rPr>
      <w:sz w:val="18"/>
      <w:szCs w:val="18"/>
    </w:rPr>
  </w:style>
  <w:style w:type="paragraph" w:styleId="35">
    <w:name w:val="Body Text First Indent 2"/>
    <w:basedOn w:val="25"/>
    <w:link w:val="258"/>
    <w:unhideWhenUsed/>
    <w:qFormat/>
    <w:uiPriority w:val="0"/>
    <w:pPr>
      <w:spacing w:line="240" w:lineRule="auto"/>
      <w:ind w:firstLine="420" w:firstLineChars="200"/>
    </w:pPr>
    <w:rPr>
      <w:kern w:val="0"/>
      <w:sz w:val="20"/>
    </w:rPr>
  </w:style>
  <w:style w:type="paragraph" w:styleId="36">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8302"/>
      </w:tabs>
      <w:spacing w:before="120"/>
      <w:ind w:firstLine="480" w:firstLineChars="200"/>
      <w:jc w:val="left"/>
    </w:pPr>
    <w:rPr>
      <w:b/>
      <w:bCs/>
      <w:iCs/>
      <w:sz w:val="24"/>
      <w:szCs w:val="28"/>
    </w:rPr>
  </w:style>
  <w:style w:type="paragraph" w:styleId="38">
    <w:name w:val="toc 4"/>
    <w:basedOn w:val="1"/>
    <w:next w:val="1"/>
    <w:qFormat/>
    <w:uiPriority w:val="0"/>
    <w:pPr>
      <w:ind w:left="1260" w:leftChars="600"/>
    </w:pPr>
  </w:style>
  <w:style w:type="paragraph" w:styleId="39">
    <w:name w:val="footnote text"/>
    <w:basedOn w:val="1"/>
    <w:link w:val="203"/>
    <w:qFormat/>
    <w:uiPriority w:val="0"/>
    <w:pPr>
      <w:snapToGrid w:val="0"/>
      <w:ind w:firstLine="200" w:firstLineChars="200"/>
      <w:jc w:val="left"/>
    </w:pPr>
    <w:rPr>
      <w:sz w:val="18"/>
      <w:szCs w:val="18"/>
    </w:rPr>
  </w:style>
  <w:style w:type="paragraph" w:styleId="40">
    <w:name w:val="toc 6"/>
    <w:basedOn w:val="1"/>
    <w:next w:val="1"/>
    <w:qFormat/>
    <w:uiPriority w:val="0"/>
    <w:pPr>
      <w:ind w:left="2100" w:leftChars="1000"/>
    </w:pPr>
    <w:rPr>
      <w:rFonts w:ascii="Calibri" w:hAnsi="Calibri"/>
      <w:szCs w:val="22"/>
    </w:rPr>
  </w:style>
  <w:style w:type="paragraph" w:styleId="41">
    <w:name w:val="Body Text Indent 3"/>
    <w:basedOn w:val="1"/>
    <w:link w:val="74"/>
    <w:qFormat/>
    <w:uiPriority w:val="0"/>
    <w:pPr>
      <w:spacing w:after="120"/>
      <w:ind w:left="420" w:leftChars="200"/>
    </w:pPr>
    <w:rPr>
      <w:sz w:val="16"/>
      <w:szCs w:val="16"/>
    </w:rPr>
  </w:style>
  <w:style w:type="paragraph" w:styleId="42">
    <w:name w:val="table of figures"/>
    <w:basedOn w:val="37"/>
    <w:next w:val="1"/>
    <w:qFormat/>
    <w:uiPriority w:val="0"/>
    <w:rPr>
      <w:b w:val="0"/>
    </w:rPr>
  </w:style>
  <w:style w:type="paragraph" w:styleId="43">
    <w:name w:val="toc 2"/>
    <w:basedOn w:val="1"/>
    <w:next w:val="1"/>
    <w:qFormat/>
    <w:uiPriority w:val="39"/>
    <w:pPr>
      <w:ind w:left="420" w:leftChars="200"/>
    </w:pPr>
  </w:style>
  <w:style w:type="paragraph" w:styleId="44">
    <w:name w:val="toc 9"/>
    <w:basedOn w:val="1"/>
    <w:next w:val="1"/>
    <w:qFormat/>
    <w:uiPriority w:val="0"/>
    <w:pPr>
      <w:ind w:left="3360" w:leftChars="1600"/>
    </w:pPr>
    <w:rPr>
      <w:rFonts w:ascii="Calibri" w:hAnsi="Calibri"/>
      <w:szCs w:val="22"/>
    </w:rPr>
  </w:style>
  <w:style w:type="paragraph" w:styleId="45">
    <w:name w:val="Body Text 2"/>
    <w:basedOn w:val="1"/>
    <w:link w:val="200"/>
    <w:qFormat/>
    <w:uiPriority w:val="0"/>
    <w:pPr>
      <w:spacing w:after="120" w:line="480" w:lineRule="auto"/>
    </w:pPr>
  </w:style>
  <w:style w:type="paragraph" w:styleId="46">
    <w:name w:val="HTML Preformatted"/>
    <w:basedOn w:val="1"/>
    <w:link w:val="2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pPr>
      <w:spacing w:line="220" w:lineRule="exact"/>
      <w:jc w:val="center"/>
    </w:pPr>
    <w:rPr>
      <w:rFonts w:ascii="仿宋_GB2312" w:eastAsia="仿宋_GB2312"/>
      <w:szCs w:val="20"/>
    </w:rPr>
  </w:style>
  <w:style w:type="paragraph" w:styleId="49">
    <w:name w:val="Title"/>
    <w:basedOn w:val="1"/>
    <w:next w:val="1"/>
    <w:qFormat/>
    <w:uiPriority w:val="0"/>
    <w:pPr>
      <w:spacing w:before="240" w:after="60"/>
      <w:jc w:val="center"/>
      <w:outlineLvl w:val="0"/>
    </w:pPr>
    <w:rPr>
      <w:rFonts w:ascii="Cambria" w:hAnsi="Cambria"/>
      <w:b/>
      <w:sz w:val="32"/>
    </w:r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rFonts w:ascii="Times New Roman" w:hAnsi="Times New Roman" w:eastAsia="宋体"/>
    </w:rPr>
  </w:style>
  <w:style w:type="character" w:styleId="55">
    <w:name w:val="HTML Definition"/>
    <w:qFormat/>
    <w:uiPriority w:val="0"/>
    <w:rPr>
      <w:rFonts w:ascii="Times New Roman" w:hAnsi="Times New Roman" w:eastAsia="宋体"/>
    </w:rPr>
  </w:style>
  <w:style w:type="character" w:styleId="56">
    <w:name w:val="HTML Variable"/>
    <w:qFormat/>
    <w:uiPriority w:val="0"/>
    <w:rPr>
      <w:rFonts w:ascii="Times New Roman" w:hAnsi="Times New Roman" w:eastAsia="宋体"/>
    </w:rPr>
  </w:style>
  <w:style w:type="character" w:styleId="57">
    <w:name w:val="Hyperlink"/>
    <w:qFormat/>
    <w:uiPriority w:val="99"/>
    <w:rPr>
      <w:color w:val="136EC2"/>
      <w:u w:val="single"/>
    </w:rPr>
  </w:style>
  <w:style w:type="character" w:styleId="58">
    <w:name w:val="HTML Code"/>
    <w:qFormat/>
    <w:uiPriority w:val="0"/>
    <w:rPr>
      <w:rFonts w:ascii="Courier New" w:hAnsi="Courier New" w:eastAsia="Courier New" w:cs="Courier New"/>
      <w:sz w:val="20"/>
    </w:rPr>
  </w:style>
  <w:style w:type="character" w:styleId="59">
    <w:name w:val="annotation reference"/>
    <w:qFormat/>
    <w:uiPriority w:val="0"/>
    <w:rPr>
      <w:sz w:val="21"/>
      <w:szCs w:val="21"/>
    </w:rPr>
  </w:style>
  <w:style w:type="character" w:styleId="60">
    <w:name w:val="HTML Cite"/>
    <w:qFormat/>
    <w:uiPriority w:val="0"/>
    <w:rPr>
      <w:rFonts w:ascii="Times New Roman" w:hAnsi="Times New Roman" w:eastAsia="宋体"/>
    </w:rPr>
  </w:style>
  <w:style w:type="character" w:styleId="61">
    <w:name w:val="footnote reference"/>
    <w:qFormat/>
    <w:uiPriority w:val="0"/>
    <w:rPr>
      <w:vertAlign w:val="superscript"/>
    </w:rPr>
  </w:style>
  <w:style w:type="character" w:styleId="62">
    <w:name w:val="HTML Keyboard"/>
    <w:qFormat/>
    <w:uiPriority w:val="0"/>
    <w:rPr>
      <w:rFonts w:ascii="Courier New" w:hAnsi="Courier New" w:eastAsia="Courier New" w:cs="Courier New"/>
      <w:sz w:val="20"/>
    </w:rPr>
  </w:style>
  <w:style w:type="character" w:styleId="63">
    <w:name w:val="HTML Sample"/>
    <w:qFormat/>
    <w:uiPriority w:val="0"/>
    <w:rPr>
      <w:rFonts w:ascii="Courier New" w:hAnsi="Courier New" w:eastAsia="Courier New" w:cs="Courier New"/>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6">
    <w:name w:val="批注框文本 Char1"/>
    <w:link w:val="33"/>
    <w:semiHidden/>
    <w:qFormat/>
    <w:locked/>
    <w:uiPriority w:val="0"/>
    <w:rPr>
      <w:rFonts w:ascii="Calibri" w:hAnsi="Calibri" w:eastAsia="宋体"/>
      <w:kern w:val="2"/>
      <w:sz w:val="18"/>
      <w:szCs w:val="18"/>
      <w:lang w:val="en-US" w:eastAsia="zh-CN" w:bidi="ar-SA"/>
    </w:rPr>
  </w:style>
  <w:style w:type="character" w:customStyle="1" w:styleId="67">
    <w:name w:val="sort1"/>
    <w:qFormat/>
    <w:uiPriority w:val="0"/>
    <w:rPr>
      <w:rFonts w:ascii="Times New Roman" w:hAnsi="Times New Roman" w:eastAsia="宋体"/>
    </w:rPr>
  </w:style>
  <w:style w:type="character" w:customStyle="1" w:styleId="68">
    <w:name w:val="标题 6 Char1"/>
    <w:link w:val="8"/>
    <w:qFormat/>
    <w:uiPriority w:val="0"/>
    <w:rPr>
      <w:rFonts w:ascii="Arial" w:hAnsi="Arial" w:eastAsia="黑体"/>
      <w:b/>
      <w:bCs/>
      <w:sz w:val="24"/>
      <w:szCs w:val="24"/>
    </w:rPr>
  </w:style>
  <w:style w:type="character" w:customStyle="1" w:styleId="69">
    <w:name w:val="Font Style90"/>
    <w:unhideWhenUsed/>
    <w:qFormat/>
    <w:uiPriority w:val="0"/>
    <w:rPr>
      <w:rFonts w:hint="eastAsia" w:ascii="宋体" w:hAnsi="宋体" w:eastAsia="宋体"/>
      <w:b/>
      <w:spacing w:val="-20"/>
      <w:sz w:val="40"/>
    </w:rPr>
  </w:style>
  <w:style w:type="character" w:customStyle="1" w:styleId="70">
    <w:name w:val="sidecatalog-index1"/>
    <w:qFormat/>
    <w:uiPriority w:val="0"/>
    <w:rPr>
      <w:rFonts w:ascii="Arial" w:hAnsi="Arial" w:eastAsia="宋体" w:cs="Arial"/>
      <w:b/>
      <w:color w:val="999999"/>
      <w:sz w:val="21"/>
      <w:szCs w:val="21"/>
    </w:rPr>
  </w:style>
  <w:style w:type="character" w:customStyle="1" w:styleId="71">
    <w:name w:val="批注文字 Char1"/>
    <w:link w:val="13"/>
    <w:qFormat/>
    <w:uiPriority w:val="0"/>
    <w:rPr>
      <w:rFonts w:eastAsia="宋体"/>
      <w:kern w:val="2"/>
      <w:sz w:val="21"/>
      <w:szCs w:val="24"/>
      <w:lang w:val="en-US" w:eastAsia="zh-CN" w:bidi="ar-SA"/>
    </w:rPr>
  </w:style>
  <w:style w:type="character" w:customStyle="1" w:styleId="72">
    <w:name w:val="标题 3 Char1"/>
    <w:link w:val="5"/>
    <w:qFormat/>
    <w:uiPriority w:val="0"/>
    <w:rPr>
      <w:b/>
      <w:bCs/>
      <w:kern w:val="2"/>
      <w:sz w:val="24"/>
      <w:szCs w:val="32"/>
    </w:rPr>
  </w:style>
  <w:style w:type="character" w:customStyle="1" w:styleId="73">
    <w:name w:val="sidecatalog-dot1"/>
    <w:qFormat/>
    <w:uiPriority w:val="0"/>
    <w:rPr>
      <w:rFonts w:ascii="Times New Roman" w:hAnsi="Times New Roman" w:eastAsia="宋体"/>
    </w:rPr>
  </w:style>
  <w:style w:type="character" w:customStyle="1" w:styleId="74">
    <w:name w:val="正文文本缩进 3 Char1"/>
    <w:link w:val="41"/>
    <w:qFormat/>
    <w:uiPriority w:val="0"/>
    <w:rPr>
      <w:rFonts w:eastAsia="宋体"/>
      <w:kern w:val="2"/>
      <w:sz w:val="16"/>
      <w:szCs w:val="16"/>
      <w:lang w:val="en-US" w:eastAsia="zh-CN" w:bidi="ar-SA"/>
    </w:rPr>
  </w:style>
  <w:style w:type="character" w:customStyle="1" w:styleId="75">
    <w:name w:val="bds_more6"/>
    <w:qFormat/>
    <w:uiPriority w:val="0"/>
    <w:rPr>
      <w:rFonts w:hint="eastAsia" w:ascii="宋体" w:hAnsi="宋体" w:eastAsia="宋体" w:cs="宋体"/>
    </w:rPr>
  </w:style>
  <w:style w:type="character" w:customStyle="1" w:styleId="76">
    <w:name w:val="标题 5 Char1"/>
    <w:link w:val="7"/>
    <w:qFormat/>
    <w:uiPriority w:val="0"/>
    <w:rPr>
      <w:b/>
      <w:bCs/>
      <w:sz w:val="28"/>
      <w:szCs w:val="28"/>
    </w:rPr>
  </w:style>
  <w:style w:type="character" w:customStyle="1" w:styleId="77">
    <w:name w:val="Font Style123"/>
    <w:unhideWhenUsed/>
    <w:qFormat/>
    <w:uiPriority w:val="0"/>
    <w:rPr>
      <w:rFonts w:hint="eastAsia" w:ascii="宋体" w:hAnsi="宋体" w:eastAsia="宋体"/>
      <w:b/>
      <w:sz w:val="32"/>
    </w:rPr>
  </w:style>
  <w:style w:type="character" w:customStyle="1" w:styleId="78">
    <w:name w:val="标题 7 Char1"/>
    <w:link w:val="9"/>
    <w:qFormat/>
    <w:uiPriority w:val="0"/>
    <w:rPr>
      <w:b/>
      <w:bCs/>
      <w:sz w:val="24"/>
      <w:szCs w:val="24"/>
    </w:rPr>
  </w:style>
  <w:style w:type="character" w:customStyle="1" w:styleId="79">
    <w:name w:val="Char Char16"/>
    <w:qFormat/>
    <w:uiPriority w:val="0"/>
    <w:rPr>
      <w:rFonts w:ascii="宋体" w:hAnsi="Times New Roman" w:eastAsia="宋体"/>
      <w:b/>
      <w:sz w:val="24"/>
      <w:lang w:val="en-US" w:eastAsia="zh-CN" w:bidi="ar-SA"/>
    </w:rPr>
  </w:style>
  <w:style w:type="character" w:customStyle="1" w:styleId="80">
    <w:name w:val="sidecatalog-index2"/>
    <w:qFormat/>
    <w:uiPriority w:val="0"/>
    <w:rPr>
      <w:rFonts w:ascii="Arail" w:hAnsi="Arail" w:eastAsia="Arail" w:cs="Arail"/>
      <w:color w:val="999999"/>
      <w:sz w:val="21"/>
      <w:szCs w:val="21"/>
    </w:rPr>
  </w:style>
  <w:style w:type="character" w:customStyle="1" w:styleId="81">
    <w:name w:val="p0 Char"/>
    <w:link w:val="82"/>
    <w:qFormat/>
    <w:uiPriority w:val="0"/>
    <w:rPr>
      <w:rFonts w:eastAsia="宋体"/>
      <w:sz w:val="21"/>
      <w:szCs w:val="21"/>
      <w:lang w:val="en-US" w:eastAsia="zh-CN" w:bidi="ar-SA"/>
    </w:rPr>
  </w:style>
  <w:style w:type="paragraph" w:customStyle="1" w:styleId="82">
    <w:name w:val="p0"/>
    <w:basedOn w:val="1"/>
    <w:link w:val="81"/>
    <w:qFormat/>
    <w:uiPriority w:val="0"/>
    <w:pPr>
      <w:widowControl/>
    </w:pPr>
    <w:rPr>
      <w:kern w:val="0"/>
      <w:szCs w:val="21"/>
    </w:rPr>
  </w:style>
  <w:style w:type="character" w:customStyle="1" w:styleId="83">
    <w:name w:val="bds_more10"/>
    <w:qFormat/>
    <w:uiPriority w:val="0"/>
    <w:rPr>
      <w:rFonts w:ascii="Times New Roman" w:hAnsi="Times New Roman" w:eastAsia="宋体"/>
    </w:rPr>
  </w:style>
  <w:style w:type="character" w:customStyle="1" w:styleId="84">
    <w:name w:val="样式2 Char Char"/>
    <w:qFormat/>
    <w:uiPriority w:val="0"/>
    <w:rPr>
      <w:rFonts w:eastAsia="宋体"/>
      <w:kern w:val="2"/>
      <w:sz w:val="18"/>
      <w:szCs w:val="18"/>
      <w:lang w:val="en-US" w:eastAsia="zh-CN" w:bidi="ar-SA"/>
    </w:rPr>
  </w:style>
  <w:style w:type="character" w:customStyle="1" w:styleId="85">
    <w:name w:val="页脚 Char1"/>
    <w:link w:val="34"/>
    <w:qFormat/>
    <w:uiPriority w:val="0"/>
    <w:rPr>
      <w:rFonts w:eastAsia="宋体"/>
      <w:kern w:val="2"/>
      <w:sz w:val="18"/>
      <w:szCs w:val="18"/>
      <w:lang w:val="en-US" w:eastAsia="zh-CN" w:bidi="ar-SA"/>
    </w:rPr>
  </w:style>
  <w:style w:type="character" w:customStyle="1" w:styleId="86">
    <w:name w:val="标题 1 Char1"/>
    <w:link w:val="3"/>
    <w:qFormat/>
    <w:uiPriority w:val="0"/>
    <w:rPr>
      <w:b/>
      <w:bCs/>
      <w:kern w:val="2"/>
      <w:sz w:val="30"/>
    </w:rPr>
  </w:style>
  <w:style w:type="character" w:customStyle="1" w:styleId="87">
    <w:name w:val="标题 8 Char"/>
    <w:qFormat/>
    <w:uiPriority w:val="0"/>
    <w:rPr>
      <w:rFonts w:ascii="Arial" w:hAnsi="Arial" w:eastAsia="黑体"/>
      <w:sz w:val="24"/>
      <w:szCs w:val="24"/>
    </w:rPr>
  </w:style>
  <w:style w:type="character" w:customStyle="1" w:styleId="88">
    <w:name w:val="标题 2 Char1"/>
    <w:link w:val="4"/>
    <w:qFormat/>
    <w:uiPriority w:val="0"/>
    <w:rPr>
      <w:b/>
      <w:bCs/>
      <w:kern w:val="2"/>
      <w:sz w:val="28"/>
      <w:szCs w:val="32"/>
    </w:rPr>
  </w:style>
  <w:style w:type="character" w:customStyle="1" w:styleId="89">
    <w:name w:val="bds_nopic"/>
    <w:qFormat/>
    <w:uiPriority w:val="0"/>
    <w:rPr>
      <w:rFonts w:ascii="Times New Roman" w:hAnsi="Times New Roman" w:eastAsia="宋体"/>
    </w:rPr>
  </w:style>
  <w:style w:type="character" w:customStyle="1" w:styleId="90">
    <w:name w:val="标题 7 Char"/>
    <w:qFormat/>
    <w:uiPriority w:val="0"/>
    <w:rPr>
      <w:b/>
      <w:bCs/>
      <w:sz w:val="24"/>
      <w:szCs w:val="24"/>
    </w:rPr>
  </w:style>
  <w:style w:type="character" w:customStyle="1" w:styleId="91">
    <w:name w:val="批注文字 Char Char"/>
    <w:qFormat/>
    <w:uiPriority w:val="0"/>
    <w:rPr>
      <w:kern w:val="2"/>
      <w:sz w:val="21"/>
      <w:szCs w:val="24"/>
      <w:lang w:bidi="ar-SA"/>
    </w:rPr>
  </w:style>
  <w:style w:type="character" w:customStyle="1" w:styleId="92">
    <w:name w:val="正文文本缩进 Char"/>
    <w:link w:val="25"/>
    <w:qFormat/>
    <w:uiPriority w:val="0"/>
    <w:rPr>
      <w:rFonts w:eastAsia="宋体"/>
      <w:kern w:val="2"/>
      <w:sz w:val="21"/>
      <w:szCs w:val="24"/>
      <w:lang w:val="en-US" w:eastAsia="zh-CN" w:bidi="ar-SA"/>
    </w:rPr>
  </w:style>
  <w:style w:type="character" w:customStyle="1" w:styleId="93">
    <w:name w:val="p0 Char Char"/>
    <w:qFormat/>
    <w:uiPriority w:val="0"/>
    <w:rPr>
      <w:rFonts w:eastAsia="宋体"/>
      <w:kern w:val="2"/>
      <w:sz w:val="21"/>
      <w:szCs w:val="21"/>
      <w:lang w:val="en-US" w:eastAsia="zh-CN" w:bidi="ar-SA"/>
    </w:rPr>
  </w:style>
  <w:style w:type="character" w:customStyle="1" w:styleId="94">
    <w:name w:val="标题 8 Char1"/>
    <w:link w:val="10"/>
    <w:qFormat/>
    <w:uiPriority w:val="0"/>
    <w:rPr>
      <w:rFonts w:ascii="Arial" w:hAnsi="Arial" w:eastAsia="黑体"/>
      <w:sz w:val="24"/>
      <w:szCs w:val="24"/>
      <w:lang w:val="en-US" w:eastAsia="zh-CN" w:bidi="ar-SA"/>
    </w:rPr>
  </w:style>
  <w:style w:type="character" w:customStyle="1" w:styleId="95">
    <w:name w:val="Char Char15"/>
    <w:qFormat/>
    <w:uiPriority w:val="0"/>
    <w:rPr>
      <w:b/>
      <w:bCs/>
      <w:sz w:val="24"/>
      <w:szCs w:val="24"/>
    </w:rPr>
  </w:style>
  <w:style w:type="character" w:customStyle="1" w:styleId="96">
    <w:name w:val="批注主题 Char1"/>
    <w:link w:val="12"/>
    <w:qFormat/>
    <w:uiPriority w:val="0"/>
    <w:rPr>
      <w:rFonts w:eastAsia="宋体"/>
      <w:b/>
      <w:bCs/>
      <w:kern w:val="2"/>
      <w:sz w:val="21"/>
      <w:szCs w:val="24"/>
      <w:lang w:val="en-US" w:eastAsia="zh-CN" w:bidi="ar-SA"/>
    </w:rPr>
  </w:style>
  <w:style w:type="character" w:customStyle="1" w:styleId="97">
    <w:name w:val="Char Char6"/>
    <w:qFormat/>
    <w:uiPriority w:val="0"/>
    <w:rPr>
      <w:rFonts w:ascii="Arial" w:hAnsi="Arial" w:eastAsia="黑体"/>
      <w:sz w:val="24"/>
      <w:szCs w:val="24"/>
      <w:lang w:val="en-US" w:eastAsia="zh-CN" w:bidi="ar-SA"/>
    </w:rPr>
  </w:style>
  <w:style w:type="character" w:customStyle="1" w:styleId="98">
    <w:name w:val="标题 4 Char1"/>
    <w:link w:val="6"/>
    <w:qFormat/>
    <w:uiPriority w:val="0"/>
    <w:rPr>
      <w:rFonts w:ascii="Arial" w:hAnsi="Arial" w:eastAsia="黑体"/>
      <w:b/>
      <w:bCs/>
      <w:kern w:val="2"/>
      <w:sz w:val="28"/>
      <w:szCs w:val="28"/>
    </w:rPr>
  </w:style>
  <w:style w:type="character" w:customStyle="1" w:styleId="99">
    <w:name w:val="标题 9 Char1"/>
    <w:link w:val="11"/>
    <w:qFormat/>
    <w:uiPriority w:val="0"/>
    <w:rPr>
      <w:rFonts w:ascii="Arial" w:hAnsi="Arial" w:eastAsia="黑体"/>
      <w:sz w:val="21"/>
      <w:szCs w:val="21"/>
      <w:lang w:val="en-US" w:eastAsia="zh-CN" w:bidi="ar-SA"/>
    </w:rPr>
  </w:style>
  <w:style w:type="character" w:customStyle="1" w:styleId="100">
    <w:name w:val="纯文本 Char"/>
    <w:link w:val="29"/>
    <w:qFormat/>
    <w:locked/>
    <w:uiPriority w:val="0"/>
    <w:rPr>
      <w:rFonts w:ascii="宋体" w:hAnsi="Courier New" w:eastAsia="宋体" w:cs="Courier New"/>
      <w:kern w:val="2"/>
      <w:sz w:val="21"/>
      <w:szCs w:val="21"/>
      <w:lang w:val="en-US" w:eastAsia="zh-CN" w:bidi="ar-SA"/>
    </w:rPr>
  </w:style>
  <w:style w:type="character" w:customStyle="1" w:styleId="101">
    <w:name w:val="日期 Char1"/>
    <w:link w:val="31"/>
    <w:qFormat/>
    <w:uiPriority w:val="99"/>
    <w:rPr>
      <w:rFonts w:eastAsia="宋体"/>
      <w:kern w:val="2"/>
      <w:sz w:val="24"/>
      <w:lang w:val="en-US" w:eastAsia="zh-CN" w:bidi="ar-SA"/>
    </w:rPr>
  </w:style>
  <w:style w:type="character" w:customStyle="1" w:styleId="102">
    <w:name w:val="访问过的超链接1"/>
    <w:qFormat/>
    <w:uiPriority w:val="99"/>
    <w:rPr>
      <w:color w:val="800080"/>
      <w:u w:val="single"/>
    </w:rPr>
  </w:style>
  <w:style w:type="character" w:customStyle="1" w:styleId="103">
    <w:name w:val="页眉 Char1"/>
    <w:link w:val="36"/>
    <w:qFormat/>
    <w:uiPriority w:val="0"/>
    <w:rPr>
      <w:rFonts w:eastAsia="宋体"/>
      <w:kern w:val="2"/>
      <w:sz w:val="18"/>
      <w:szCs w:val="18"/>
      <w:lang w:val="en-US" w:eastAsia="zh-CN" w:bidi="ar-SA"/>
    </w:rPr>
  </w:style>
  <w:style w:type="character" w:customStyle="1" w:styleId="104">
    <w:name w:val="标题 4 Char Char"/>
    <w:qFormat/>
    <w:uiPriority w:val="0"/>
    <w:rPr>
      <w:rFonts w:ascii="Arial" w:hAnsi="Arial" w:eastAsia="宋体"/>
      <w:b/>
      <w:bCs/>
      <w:kern w:val="2"/>
      <w:sz w:val="21"/>
      <w:szCs w:val="28"/>
      <w:lang w:val="en-US" w:eastAsia="zh-CN" w:bidi="ar-SA"/>
    </w:rPr>
  </w:style>
  <w:style w:type="character" w:customStyle="1" w:styleId="105">
    <w:name w:val="Char Char17"/>
    <w:qFormat/>
    <w:uiPriority w:val="0"/>
    <w:rPr>
      <w:rFonts w:ascii="宋体" w:hAnsi="Times New Roman" w:eastAsia="宋体"/>
      <w:b/>
      <w:sz w:val="28"/>
      <w:lang w:val="en-US" w:eastAsia="zh-CN" w:bidi="ar-SA"/>
    </w:rPr>
  </w:style>
  <w:style w:type="character" w:customStyle="1" w:styleId="106">
    <w:name w:val="Char Char14"/>
    <w:qFormat/>
    <w:uiPriority w:val="0"/>
    <w:rPr>
      <w:rFonts w:ascii="Arial" w:hAnsi="Arial" w:eastAsia="黑体"/>
      <w:b/>
      <w:bCs/>
      <w:sz w:val="28"/>
      <w:szCs w:val="28"/>
      <w:lang w:val="en-US" w:eastAsia="zh-CN" w:bidi="ar-SA"/>
    </w:rPr>
  </w:style>
  <w:style w:type="character" w:customStyle="1" w:styleId="107">
    <w:name w:val="标题 Char1"/>
    <w:qFormat/>
    <w:uiPriority w:val="0"/>
    <w:rPr>
      <w:rFonts w:ascii="Cambria" w:hAnsi="Cambria" w:eastAsia="宋体" w:cs="Times New Roman"/>
      <w:b/>
      <w:bCs/>
      <w:sz w:val="32"/>
      <w:szCs w:val="32"/>
    </w:rPr>
  </w:style>
  <w:style w:type="character" w:customStyle="1" w:styleId="108">
    <w:name w:val="bds_more9"/>
    <w:qFormat/>
    <w:uiPriority w:val="0"/>
    <w:rPr>
      <w:rFonts w:ascii="Times New Roman" w:hAnsi="Times New Roman" w:eastAsia="宋体"/>
    </w:rPr>
  </w:style>
  <w:style w:type="character" w:customStyle="1" w:styleId="109">
    <w:name w:val="标题 Char"/>
    <w:qFormat/>
    <w:uiPriority w:val="0"/>
    <w:rPr>
      <w:rFonts w:ascii="Cambria" w:hAnsi="Cambria"/>
      <w:b/>
      <w:kern w:val="2"/>
      <w:sz w:val="32"/>
      <w:szCs w:val="24"/>
    </w:rPr>
  </w:style>
  <w:style w:type="character" w:customStyle="1" w:styleId="110">
    <w:name w:val="plus"/>
    <w:qFormat/>
    <w:uiPriority w:val="0"/>
    <w:rPr>
      <w:rFonts w:ascii="Times New Roman" w:hAnsi="Times New Roman" w:eastAsia="宋体"/>
      <w:b/>
      <w:vanish/>
      <w:color w:val="1F8DEF"/>
      <w:sz w:val="24"/>
      <w:szCs w:val="24"/>
    </w:rPr>
  </w:style>
  <w:style w:type="character" w:customStyle="1" w:styleId="111">
    <w:name w:val="Font Style127"/>
    <w:unhideWhenUsed/>
    <w:qFormat/>
    <w:uiPriority w:val="0"/>
    <w:rPr>
      <w:rFonts w:hint="eastAsia" w:ascii="Times New Roman" w:hAnsi="Times New Roman" w:eastAsia="Times New Roman"/>
      <w:sz w:val="20"/>
    </w:rPr>
  </w:style>
  <w:style w:type="character" w:customStyle="1" w:styleId="112">
    <w:name w:val="bds_nopic1"/>
    <w:qFormat/>
    <w:uiPriority w:val="0"/>
    <w:rPr>
      <w:rFonts w:ascii="Times New Roman" w:hAnsi="Times New Roman" w:eastAsia="宋体"/>
    </w:rPr>
  </w:style>
  <w:style w:type="character" w:customStyle="1" w:styleId="113">
    <w:name w:val="bds_nopic2"/>
    <w:qFormat/>
    <w:uiPriority w:val="0"/>
    <w:rPr>
      <w:rFonts w:ascii="Times New Roman" w:hAnsi="Times New Roman" w:eastAsia="宋体"/>
    </w:rPr>
  </w:style>
  <w:style w:type="character" w:customStyle="1" w:styleId="114">
    <w:name w:val="sort"/>
    <w:qFormat/>
    <w:uiPriority w:val="0"/>
    <w:rPr>
      <w:rFonts w:ascii="Times New Roman" w:hAnsi="Times New Roman" w:eastAsia="宋体"/>
      <w:color w:val="FFFFFF"/>
      <w:bdr w:val="single" w:color="auto" w:sz="24" w:space="0"/>
    </w:rPr>
  </w:style>
  <w:style w:type="character" w:customStyle="1" w:styleId="115">
    <w:name w:val="sidecatalog-dot"/>
    <w:qFormat/>
    <w:uiPriority w:val="0"/>
    <w:rPr>
      <w:rFonts w:ascii="Times New Roman" w:hAnsi="Times New Roman" w:eastAsia="宋体"/>
    </w:rPr>
  </w:style>
  <w:style w:type="character" w:customStyle="1" w:styleId="116">
    <w:name w:val="Font Style133"/>
    <w:unhideWhenUsed/>
    <w:qFormat/>
    <w:uiPriority w:val="0"/>
    <w:rPr>
      <w:rFonts w:hint="eastAsia" w:ascii="宋体" w:hAnsi="宋体" w:eastAsia="宋体"/>
      <w:spacing w:val="30"/>
      <w:sz w:val="24"/>
    </w:rPr>
  </w:style>
  <w:style w:type="character" w:customStyle="1" w:styleId="117">
    <w:name w:val="批注文字 Char"/>
    <w:qFormat/>
    <w:uiPriority w:val="0"/>
    <w:rPr>
      <w:kern w:val="2"/>
      <w:sz w:val="21"/>
      <w:szCs w:val="24"/>
    </w:rPr>
  </w:style>
  <w:style w:type="character" w:customStyle="1" w:styleId="118">
    <w:name w:val="Font Style122"/>
    <w:unhideWhenUsed/>
    <w:qFormat/>
    <w:uiPriority w:val="0"/>
    <w:rPr>
      <w:rFonts w:hint="eastAsia" w:ascii="宋体" w:hAnsi="宋体" w:eastAsia="宋体"/>
      <w:spacing w:val="20"/>
      <w:sz w:val="24"/>
    </w:rPr>
  </w:style>
  <w:style w:type="character" w:customStyle="1" w:styleId="119">
    <w:name w:val="批注主题 Char"/>
    <w:qFormat/>
    <w:uiPriority w:val="0"/>
    <w:rPr>
      <w:b/>
      <w:bCs/>
      <w:kern w:val="2"/>
      <w:sz w:val="21"/>
      <w:szCs w:val="24"/>
    </w:rPr>
  </w:style>
  <w:style w:type="character" w:customStyle="1" w:styleId="120">
    <w:name w:val="Font Style124"/>
    <w:unhideWhenUsed/>
    <w:qFormat/>
    <w:uiPriority w:val="0"/>
    <w:rPr>
      <w:rFonts w:hint="eastAsia" w:ascii="宋体" w:hAnsi="宋体" w:eastAsia="宋体"/>
      <w:spacing w:val="30"/>
      <w:sz w:val="24"/>
    </w:rPr>
  </w:style>
  <w:style w:type="character" w:customStyle="1" w:styleId="121">
    <w:name w:val="标题 2 Char"/>
    <w:qFormat/>
    <w:uiPriority w:val="0"/>
    <w:rPr>
      <w:rFonts w:ascii="Cambria" w:hAnsi="Cambria" w:eastAsia="宋体" w:cs="Times New Roman"/>
      <w:b/>
      <w:bCs/>
      <w:kern w:val="2"/>
      <w:sz w:val="32"/>
      <w:szCs w:val="32"/>
    </w:rPr>
  </w:style>
  <w:style w:type="character" w:customStyle="1" w:styleId="122">
    <w:name w:val="正文文本缩进 3 Char"/>
    <w:qFormat/>
    <w:uiPriority w:val="0"/>
    <w:rPr>
      <w:rFonts w:ascii="宋体" w:hAnsi="MS Sans Serif"/>
      <w:color w:val="000000"/>
      <w:sz w:val="24"/>
    </w:rPr>
  </w:style>
  <w:style w:type="character" w:customStyle="1" w:styleId="123">
    <w:name w:val="Font Style119"/>
    <w:unhideWhenUsed/>
    <w:qFormat/>
    <w:uiPriority w:val="0"/>
    <w:rPr>
      <w:rFonts w:hint="eastAsia" w:ascii="宋体" w:hAnsi="宋体" w:eastAsia="宋体"/>
      <w:sz w:val="24"/>
    </w:rPr>
  </w:style>
  <w:style w:type="character" w:customStyle="1" w:styleId="124">
    <w:name w:val="bds_more8"/>
    <w:qFormat/>
    <w:uiPriority w:val="0"/>
    <w:rPr>
      <w:rFonts w:ascii="Times New Roman" w:hAnsi="Times New Roman" w:eastAsia="宋体"/>
    </w:rPr>
  </w:style>
  <w:style w:type="character" w:customStyle="1" w:styleId="125">
    <w:name w:val="desc"/>
    <w:qFormat/>
    <w:uiPriority w:val="0"/>
    <w:rPr>
      <w:rFonts w:ascii="Times New Roman" w:hAnsi="Times New Roman" w:eastAsia="宋体"/>
      <w:color w:val="000000"/>
      <w:sz w:val="18"/>
      <w:szCs w:val="18"/>
    </w:rPr>
  </w:style>
  <w:style w:type="character" w:customStyle="1" w:styleId="126">
    <w:name w:val="Font Style117"/>
    <w:unhideWhenUsed/>
    <w:qFormat/>
    <w:uiPriority w:val="0"/>
    <w:rPr>
      <w:rFonts w:hint="eastAsia" w:ascii="宋体" w:hAnsi="宋体" w:eastAsia="宋体"/>
      <w:spacing w:val="20"/>
      <w:sz w:val="24"/>
    </w:rPr>
  </w:style>
  <w:style w:type="character" w:customStyle="1" w:styleId="127">
    <w:name w:val="Font Style121"/>
    <w:unhideWhenUsed/>
    <w:qFormat/>
    <w:uiPriority w:val="0"/>
    <w:rPr>
      <w:rFonts w:hint="eastAsia" w:ascii="宋体" w:hAnsi="宋体" w:eastAsia="宋体"/>
      <w:spacing w:val="-10"/>
      <w:sz w:val="30"/>
    </w:rPr>
  </w:style>
  <w:style w:type="character" w:customStyle="1" w:styleId="128">
    <w:name w:val="日期 Char"/>
    <w:qFormat/>
    <w:uiPriority w:val="0"/>
    <w:rPr>
      <w:kern w:val="2"/>
      <w:sz w:val="21"/>
      <w:szCs w:val="24"/>
    </w:rPr>
  </w:style>
  <w:style w:type="character" w:customStyle="1" w:styleId="129">
    <w:name w:val="标题 6 Char"/>
    <w:qFormat/>
    <w:uiPriority w:val="0"/>
    <w:rPr>
      <w:rFonts w:ascii="Arial" w:hAnsi="Arial" w:eastAsia="黑体"/>
      <w:b/>
      <w:bCs/>
      <w:sz w:val="24"/>
      <w:szCs w:val="24"/>
    </w:rPr>
  </w:style>
  <w:style w:type="character" w:customStyle="1" w:styleId="130">
    <w:name w:val="polysemyred"/>
    <w:qFormat/>
    <w:uiPriority w:val="0"/>
    <w:rPr>
      <w:rFonts w:ascii="Times New Roman" w:hAnsi="Times New Roman" w:eastAsia="宋体"/>
      <w:color w:val="FF6666"/>
      <w:sz w:val="18"/>
      <w:szCs w:val="18"/>
    </w:rPr>
  </w:style>
  <w:style w:type="character" w:customStyle="1" w:styleId="131">
    <w:name w:val="Font Style125"/>
    <w:unhideWhenUsed/>
    <w:qFormat/>
    <w:uiPriority w:val="0"/>
    <w:rPr>
      <w:rFonts w:hint="eastAsia" w:ascii="宋体" w:hAnsi="宋体" w:eastAsia="宋体"/>
      <w:b/>
      <w:sz w:val="26"/>
    </w:rPr>
  </w:style>
  <w:style w:type="character" w:customStyle="1" w:styleId="132">
    <w:name w:val="Font Style104"/>
    <w:unhideWhenUsed/>
    <w:qFormat/>
    <w:uiPriority w:val="0"/>
    <w:rPr>
      <w:rFonts w:hint="eastAsia" w:ascii="宋体" w:hAnsi="宋体" w:eastAsia="宋体"/>
      <w:spacing w:val="30"/>
      <w:sz w:val="18"/>
    </w:rPr>
  </w:style>
  <w:style w:type="character" w:customStyle="1" w:styleId="133">
    <w:name w:val="Font Style126"/>
    <w:unhideWhenUsed/>
    <w:qFormat/>
    <w:uiPriority w:val="0"/>
    <w:rPr>
      <w:rFonts w:hint="eastAsia" w:ascii="宋体" w:hAnsi="宋体" w:eastAsia="宋体"/>
      <w:b/>
      <w:spacing w:val="-30"/>
      <w:sz w:val="28"/>
    </w:rPr>
  </w:style>
  <w:style w:type="character" w:customStyle="1" w:styleId="134">
    <w:name w:val="Font Style116"/>
    <w:unhideWhenUsed/>
    <w:qFormat/>
    <w:uiPriority w:val="0"/>
    <w:rPr>
      <w:rFonts w:hint="eastAsia" w:ascii="宋体" w:hAnsi="宋体" w:eastAsia="宋体"/>
      <w:spacing w:val="-20"/>
      <w:sz w:val="24"/>
    </w:rPr>
  </w:style>
  <w:style w:type="character" w:customStyle="1" w:styleId="135">
    <w:name w:val="polysemyexp"/>
    <w:qFormat/>
    <w:uiPriority w:val="0"/>
    <w:rPr>
      <w:rFonts w:ascii="Times New Roman" w:hAnsi="Times New Roman" w:eastAsia="宋体"/>
      <w:color w:val="AAAAAA"/>
      <w:sz w:val="18"/>
      <w:szCs w:val="18"/>
    </w:rPr>
  </w:style>
  <w:style w:type="character" w:customStyle="1" w:styleId="136">
    <w:name w:val="Font Style94"/>
    <w:unhideWhenUsed/>
    <w:qFormat/>
    <w:uiPriority w:val="0"/>
    <w:rPr>
      <w:rFonts w:hint="eastAsia" w:ascii="Times New Roman" w:hAnsi="Times New Roman" w:eastAsia="Times New Roman"/>
      <w:sz w:val="28"/>
    </w:rPr>
  </w:style>
  <w:style w:type="character" w:customStyle="1" w:styleId="137">
    <w:name w:val="标题 5 Char"/>
    <w:qFormat/>
    <w:uiPriority w:val="0"/>
    <w:rPr>
      <w:b/>
      <w:bCs/>
      <w:kern w:val="2"/>
      <w:sz w:val="28"/>
      <w:szCs w:val="28"/>
    </w:rPr>
  </w:style>
  <w:style w:type="character" w:customStyle="1" w:styleId="138">
    <w:name w:val="标题 4 Char"/>
    <w:qFormat/>
    <w:uiPriority w:val="0"/>
    <w:rPr>
      <w:rFonts w:ascii="Arial" w:hAnsi="Arial" w:eastAsia="宋体" w:cs="Times New Roman"/>
      <w:b/>
      <w:bCs/>
      <w:szCs w:val="28"/>
    </w:rPr>
  </w:style>
  <w:style w:type="character" w:customStyle="1" w:styleId="139">
    <w:name w:val="morelink-item"/>
    <w:qFormat/>
    <w:uiPriority w:val="0"/>
    <w:rPr>
      <w:rFonts w:ascii="Times New Roman" w:hAnsi="Times New Roman" w:eastAsia="宋体"/>
    </w:rPr>
  </w:style>
  <w:style w:type="character" w:customStyle="1" w:styleId="140">
    <w:name w:val="Font Style131"/>
    <w:unhideWhenUsed/>
    <w:qFormat/>
    <w:uiPriority w:val="0"/>
    <w:rPr>
      <w:rFonts w:hint="eastAsia" w:ascii="Times New Roman" w:hAnsi="Times New Roman" w:eastAsia="Times New Roman"/>
      <w:sz w:val="18"/>
    </w:rPr>
  </w:style>
  <w:style w:type="character" w:customStyle="1" w:styleId="141">
    <w:name w:val="Font Style128"/>
    <w:unhideWhenUsed/>
    <w:qFormat/>
    <w:uiPriority w:val="0"/>
    <w:rPr>
      <w:rFonts w:hint="eastAsia" w:ascii="Times New Roman" w:hAnsi="Times New Roman" w:eastAsia="Times New Roman"/>
      <w:sz w:val="16"/>
    </w:rPr>
  </w:style>
  <w:style w:type="character" w:customStyle="1" w:styleId="142">
    <w:name w:val="Font Style105"/>
    <w:unhideWhenUsed/>
    <w:qFormat/>
    <w:uiPriority w:val="0"/>
    <w:rPr>
      <w:rFonts w:hint="eastAsia" w:ascii="Times New Roman" w:hAnsi="Times New Roman" w:eastAsia="Times New Roman"/>
      <w:w w:val="60"/>
      <w:sz w:val="26"/>
    </w:rPr>
  </w:style>
  <w:style w:type="character" w:customStyle="1" w:styleId="143">
    <w:name w:val="Font Style86"/>
    <w:unhideWhenUsed/>
    <w:qFormat/>
    <w:uiPriority w:val="0"/>
    <w:rPr>
      <w:rFonts w:hint="eastAsia" w:ascii="黑体" w:hAnsi="黑体" w:eastAsia="黑体"/>
      <w:spacing w:val="10"/>
      <w:sz w:val="30"/>
    </w:rPr>
  </w:style>
  <w:style w:type="character" w:customStyle="1" w:styleId="144">
    <w:name w:val="Font Style115"/>
    <w:unhideWhenUsed/>
    <w:qFormat/>
    <w:uiPriority w:val="0"/>
    <w:rPr>
      <w:rFonts w:hint="eastAsia" w:ascii="Times New Roman" w:hAnsi="Times New Roman" w:eastAsia="Times New Roman"/>
      <w:sz w:val="16"/>
    </w:rPr>
  </w:style>
  <w:style w:type="character" w:customStyle="1" w:styleId="145">
    <w:name w:val="页眉 Char"/>
    <w:qFormat/>
    <w:uiPriority w:val="99"/>
    <w:rPr>
      <w:kern w:val="2"/>
      <w:sz w:val="18"/>
      <w:szCs w:val="18"/>
    </w:rPr>
  </w:style>
  <w:style w:type="character" w:customStyle="1" w:styleId="146">
    <w:name w:val="bds_more7"/>
    <w:qFormat/>
    <w:uiPriority w:val="0"/>
    <w:rPr>
      <w:rFonts w:ascii="Times New Roman" w:hAnsi="Times New Roman" w:eastAsia="宋体"/>
    </w:rPr>
  </w:style>
  <w:style w:type="character" w:customStyle="1" w:styleId="147">
    <w:name w:val="lemmatitleh12"/>
    <w:qFormat/>
    <w:uiPriority w:val="0"/>
    <w:rPr>
      <w:rFonts w:ascii="Times New Roman" w:hAnsi="Times New Roman" w:eastAsia="宋体"/>
    </w:rPr>
  </w:style>
  <w:style w:type="character" w:customStyle="1" w:styleId="148">
    <w:name w:val="标题 1 Char"/>
    <w:qFormat/>
    <w:uiPriority w:val="0"/>
    <w:rPr>
      <w:rFonts w:ascii="Cambria" w:hAnsi="Cambria"/>
      <w:b/>
      <w:bCs/>
      <w:kern w:val="32"/>
      <w:sz w:val="32"/>
      <w:szCs w:val="32"/>
    </w:rPr>
  </w:style>
  <w:style w:type="character" w:customStyle="1" w:styleId="149">
    <w:name w:val="批注框文本 Char"/>
    <w:qFormat/>
    <w:uiPriority w:val="0"/>
    <w:rPr>
      <w:kern w:val="2"/>
      <w:sz w:val="18"/>
      <w:szCs w:val="18"/>
    </w:rPr>
  </w:style>
  <w:style w:type="character" w:customStyle="1" w:styleId="150">
    <w:name w:val="标题 9 Char"/>
    <w:qFormat/>
    <w:uiPriority w:val="0"/>
    <w:rPr>
      <w:rFonts w:ascii="Arial" w:hAnsi="Arial" w:eastAsia="黑体"/>
      <w:sz w:val="21"/>
      <w:szCs w:val="21"/>
    </w:rPr>
  </w:style>
  <w:style w:type="character" w:customStyle="1" w:styleId="151">
    <w:name w:val="标题 3 Char"/>
    <w:qFormat/>
    <w:uiPriority w:val="0"/>
    <w:rPr>
      <w:b/>
      <w:bCs/>
      <w:sz w:val="24"/>
      <w:szCs w:val="24"/>
    </w:rPr>
  </w:style>
  <w:style w:type="character" w:customStyle="1" w:styleId="152">
    <w:name w:val="Font Style134"/>
    <w:unhideWhenUsed/>
    <w:qFormat/>
    <w:uiPriority w:val="0"/>
    <w:rPr>
      <w:rFonts w:hint="eastAsia" w:ascii="宋体" w:hAnsi="宋体" w:eastAsia="宋体"/>
      <w:spacing w:val="20"/>
      <w:sz w:val="22"/>
    </w:rPr>
  </w:style>
  <w:style w:type="character" w:customStyle="1" w:styleId="153">
    <w:name w:val="页脚 Char"/>
    <w:qFormat/>
    <w:uiPriority w:val="99"/>
    <w:rPr>
      <w:kern w:val="2"/>
      <w:sz w:val="18"/>
      <w:szCs w:val="18"/>
    </w:rPr>
  </w:style>
  <w:style w:type="character" w:customStyle="1" w:styleId="154">
    <w:name w:val="纯文本 Char2"/>
    <w:qFormat/>
    <w:uiPriority w:val="0"/>
    <w:rPr>
      <w:rFonts w:ascii="宋体" w:hAnsi="Courier New" w:eastAsia="宋体"/>
      <w:kern w:val="2"/>
      <w:sz w:val="21"/>
      <w:szCs w:val="21"/>
      <w:lang w:val="en-US" w:eastAsia="zh-CN" w:bidi="ar-SA"/>
    </w:rPr>
  </w:style>
  <w:style w:type="character" w:customStyle="1" w:styleId="155">
    <w:name w:val="列出段落 Char"/>
    <w:link w:val="156"/>
    <w:qFormat/>
    <w:uiPriority w:val="0"/>
    <w:rPr>
      <w:rFonts w:ascii="Calibri" w:hAnsi="Calibri" w:cs="黑体"/>
      <w:kern w:val="2"/>
      <w:sz w:val="21"/>
      <w:szCs w:val="22"/>
    </w:rPr>
  </w:style>
  <w:style w:type="paragraph" w:customStyle="1" w:styleId="156">
    <w:name w:val="列出段落11"/>
    <w:basedOn w:val="1"/>
    <w:link w:val="155"/>
    <w:qFormat/>
    <w:uiPriority w:val="0"/>
    <w:pPr>
      <w:ind w:firstLine="420" w:firstLineChars="200"/>
    </w:pPr>
    <w:rPr>
      <w:rFonts w:ascii="Calibri" w:hAnsi="Calibri"/>
      <w:szCs w:val="22"/>
    </w:rPr>
  </w:style>
  <w:style w:type="character" w:customStyle="1" w:styleId="157">
    <w:name w:val="msoins"/>
    <w:basedOn w:val="50"/>
    <w:qFormat/>
    <w:uiPriority w:val="0"/>
  </w:style>
  <w:style w:type="character" w:customStyle="1" w:styleId="158">
    <w:name w:val="正文缩进 Char"/>
    <w:link w:val="19"/>
    <w:qFormat/>
    <w:uiPriority w:val="0"/>
  </w:style>
  <w:style w:type="character" w:customStyle="1" w:styleId="159">
    <w:name w:val="图编号 Char"/>
    <w:link w:val="160"/>
    <w:qFormat/>
    <w:uiPriority w:val="0"/>
    <w:rPr>
      <w:kern w:val="2"/>
      <w:sz w:val="21"/>
      <w:szCs w:val="21"/>
    </w:rPr>
  </w:style>
  <w:style w:type="paragraph" w:customStyle="1" w:styleId="160">
    <w:name w:val="图编号"/>
    <w:basedOn w:val="1"/>
    <w:link w:val="159"/>
    <w:qFormat/>
    <w:uiPriority w:val="0"/>
    <w:pPr>
      <w:numPr>
        <w:ilvl w:val="8"/>
        <w:numId w:val="1"/>
      </w:numPr>
      <w:jc w:val="center"/>
    </w:pPr>
    <w:rPr>
      <w:szCs w:val="21"/>
    </w:rPr>
  </w:style>
  <w:style w:type="character" w:customStyle="1" w:styleId="161">
    <w:name w:val="正文文本 Char"/>
    <w:link w:val="24"/>
    <w:qFormat/>
    <w:uiPriority w:val="0"/>
    <w:rPr>
      <w:kern w:val="2"/>
      <w:sz w:val="21"/>
      <w:szCs w:val="24"/>
    </w:rPr>
  </w:style>
  <w:style w:type="character" w:customStyle="1" w:styleId="162">
    <w:name w:val="正文首行缩进 Char"/>
    <w:link w:val="15"/>
    <w:qFormat/>
    <w:uiPriority w:val="99"/>
    <w:rPr>
      <w:kern w:val="2"/>
      <w:sz w:val="24"/>
      <w:szCs w:val="24"/>
    </w:rPr>
  </w:style>
  <w:style w:type="character" w:customStyle="1" w:styleId="163">
    <w:name w:val="标准文件_正文图标题 Char"/>
    <w:link w:val="164"/>
    <w:qFormat/>
    <w:uiPriority w:val="0"/>
    <w:rPr>
      <w:rFonts w:ascii="黑体" w:eastAsia="黑体"/>
      <w:sz w:val="21"/>
      <w:lang w:val="en-US" w:eastAsia="zh-CN" w:bidi="ar-SA"/>
    </w:rPr>
  </w:style>
  <w:style w:type="paragraph" w:customStyle="1" w:styleId="164">
    <w:name w:val="标准文件_正文图标题"/>
    <w:next w:val="165"/>
    <w:link w:val="163"/>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165">
    <w:name w:val="标准文件_段"/>
    <w:qFormat/>
    <w:uiPriority w:val="0"/>
    <w:pPr>
      <w:autoSpaceDE w:val="0"/>
      <w:autoSpaceDN w:val="0"/>
      <w:adjustRightInd w:val="0"/>
      <w:snapToGrid w:val="0"/>
      <w:spacing w:line="360" w:lineRule="auto"/>
      <w:ind w:right="-120" w:firstLine="360" w:firstLineChars="168"/>
      <w:jc w:val="both"/>
    </w:pPr>
    <w:rPr>
      <w:rFonts w:ascii="Times New Roman" w:hAnsi="Times New Roman" w:eastAsia="宋体" w:cs="Times New Roman"/>
      <w:color w:val="FF0000"/>
      <w:spacing w:val="2"/>
      <w:sz w:val="21"/>
      <w:szCs w:val="21"/>
      <w:lang w:val="en-US" w:eastAsia="zh-CN" w:bidi="ar-SA"/>
    </w:rPr>
  </w:style>
  <w:style w:type="character" w:customStyle="1" w:styleId="166">
    <w:name w:val="样式1 Char"/>
    <w:link w:val="167"/>
    <w:qFormat/>
    <w:uiPriority w:val="0"/>
    <w:rPr>
      <w:rFonts w:ascii="宋体" w:hAnsi="宋体"/>
      <w:sz w:val="21"/>
      <w:szCs w:val="21"/>
    </w:rPr>
  </w:style>
  <w:style w:type="paragraph" w:customStyle="1" w:styleId="167">
    <w:name w:val="样式1"/>
    <w:basedOn w:val="1"/>
    <w:link w:val="166"/>
    <w:qFormat/>
    <w:uiPriority w:val="0"/>
    <w:pPr>
      <w:tabs>
        <w:tab w:val="left" w:pos="360"/>
      </w:tabs>
      <w:adjustRightInd w:val="0"/>
      <w:ind w:left="360" w:hanging="360"/>
      <w:textAlignment w:val="baseline"/>
    </w:pPr>
    <w:rPr>
      <w:rFonts w:ascii="宋体" w:hAnsi="宋体"/>
      <w:kern w:val="0"/>
      <w:szCs w:val="21"/>
    </w:rPr>
  </w:style>
  <w:style w:type="character" w:customStyle="1" w:styleId="168">
    <w:name w:val="缩进正文 Char"/>
    <w:link w:val="169"/>
    <w:qFormat/>
    <w:uiPriority w:val="0"/>
    <w:rPr>
      <w:rFonts w:ascii="Calibri" w:hAnsi="Calibri"/>
      <w:sz w:val="24"/>
    </w:rPr>
  </w:style>
  <w:style w:type="paragraph" w:customStyle="1" w:styleId="169">
    <w:name w:val="缩进正文"/>
    <w:basedOn w:val="1"/>
    <w:link w:val="168"/>
    <w:qFormat/>
    <w:uiPriority w:val="0"/>
    <w:pPr>
      <w:adjustRightInd w:val="0"/>
      <w:snapToGrid w:val="0"/>
      <w:spacing w:line="460" w:lineRule="atLeast"/>
      <w:ind w:firstLine="200" w:firstLineChars="200"/>
      <w:jc w:val="left"/>
    </w:pPr>
    <w:rPr>
      <w:rFonts w:ascii="Calibri" w:hAnsi="Calibri"/>
      <w:kern w:val="0"/>
      <w:sz w:val="24"/>
      <w:szCs w:val="20"/>
    </w:rPr>
  </w:style>
  <w:style w:type="character" w:customStyle="1" w:styleId="170">
    <w:name w:val="标书正文:  0.74 厘米 Char"/>
    <w:link w:val="171"/>
    <w:qFormat/>
    <w:uiPriority w:val="0"/>
    <w:rPr>
      <w:rFonts w:cs="宋体"/>
      <w:kern w:val="2"/>
      <w:sz w:val="24"/>
      <w:szCs w:val="24"/>
    </w:rPr>
  </w:style>
  <w:style w:type="paragraph" w:customStyle="1" w:styleId="171">
    <w:name w:val="标书正文:  0.74 厘米"/>
    <w:basedOn w:val="1"/>
    <w:link w:val="170"/>
    <w:qFormat/>
    <w:uiPriority w:val="0"/>
    <w:pPr>
      <w:snapToGrid w:val="0"/>
      <w:ind w:firstLine="420" w:firstLineChars="200"/>
      <w:jc w:val="left"/>
    </w:pPr>
    <w:rPr>
      <w:sz w:val="24"/>
    </w:rPr>
  </w:style>
  <w:style w:type="character" w:customStyle="1" w:styleId="172">
    <w:name w:val="表内文字 Char"/>
    <w:link w:val="173"/>
    <w:qFormat/>
    <w:uiPriority w:val="0"/>
    <w:rPr>
      <w:rFonts w:ascii="宋体" w:hAnsi="宋体" w:eastAsia="楷体_GB2312" w:cs="宋体"/>
      <w:color w:val="000000"/>
      <w:kern w:val="2"/>
      <w:sz w:val="21"/>
      <w:szCs w:val="24"/>
    </w:rPr>
  </w:style>
  <w:style w:type="paragraph" w:customStyle="1" w:styleId="173">
    <w:name w:val="表内文字"/>
    <w:basedOn w:val="1"/>
    <w:link w:val="172"/>
    <w:qFormat/>
    <w:uiPriority w:val="0"/>
    <w:pPr>
      <w:ind w:firstLine="200" w:firstLineChars="200"/>
      <w:jc w:val="center"/>
    </w:pPr>
    <w:rPr>
      <w:rFonts w:ascii="宋体" w:hAnsi="宋体" w:eastAsia="楷体_GB2312"/>
      <w:color w:val="000000"/>
    </w:rPr>
  </w:style>
  <w:style w:type="character" w:customStyle="1" w:styleId="174">
    <w:name w:val="图表标题 Char Char"/>
    <w:link w:val="175"/>
    <w:qFormat/>
    <w:uiPriority w:val="0"/>
    <w:rPr>
      <w:rFonts w:cs="宋体"/>
      <w:kern w:val="2"/>
      <w:sz w:val="21"/>
      <w:szCs w:val="21"/>
      <w:lang w:val="en-US" w:eastAsia="zh-CN" w:bidi="ar-SA"/>
    </w:rPr>
  </w:style>
  <w:style w:type="paragraph" w:customStyle="1" w:styleId="175">
    <w:name w:val="图表标题"/>
    <w:next w:val="1"/>
    <w:link w:val="174"/>
    <w:qFormat/>
    <w:uiPriority w:val="0"/>
    <w:pPr>
      <w:jc w:val="center"/>
    </w:pPr>
    <w:rPr>
      <w:rFonts w:ascii="Times New Roman" w:hAnsi="Times New Roman" w:eastAsia="宋体" w:cs="宋体"/>
      <w:kern w:val="2"/>
      <w:sz w:val="21"/>
      <w:szCs w:val="21"/>
      <w:lang w:val="en-US" w:eastAsia="zh-CN" w:bidi="ar-SA"/>
    </w:rPr>
  </w:style>
  <w:style w:type="character" w:customStyle="1" w:styleId="176">
    <w:name w:val="@正文文本首行缩进 Alt＋w Char"/>
    <w:link w:val="177"/>
    <w:qFormat/>
    <w:uiPriority w:val="0"/>
    <w:rPr>
      <w:kern w:val="2"/>
      <w:sz w:val="23"/>
      <w:szCs w:val="24"/>
    </w:rPr>
  </w:style>
  <w:style w:type="paragraph" w:customStyle="1" w:styleId="177">
    <w:name w:val="@正文文本首行缩进 Alt＋w"/>
    <w:basedOn w:val="1"/>
    <w:link w:val="176"/>
    <w:qFormat/>
    <w:uiPriority w:val="0"/>
    <w:pPr>
      <w:spacing w:beforeLines="50" w:afterLines="50" w:line="400" w:lineRule="exact"/>
      <w:ind w:firstLine="200" w:firstLineChars="200"/>
      <w:jc w:val="left"/>
      <w:textAlignment w:val="baseline"/>
    </w:pPr>
    <w:rPr>
      <w:sz w:val="23"/>
    </w:rPr>
  </w:style>
  <w:style w:type="character" w:customStyle="1" w:styleId="178">
    <w:name w:val="表编号 Char"/>
    <w:link w:val="179"/>
    <w:qFormat/>
    <w:uiPriority w:val="0"/>
    <w:rPr>
      <w:kern w:val="2"/>
      <w:sz w:val="21"/>
    </w:rPr>
  </w:style>
  <w:style w:type="paragraph" w:customStyle="1" w:styleId="179">
    <w:name w:val="表编号"/>
    <w:basedOn w:val="1"/>
    <w:link w:val="178"/>
    <w:qFormat/>
    <w:uiPriority w:val="0"/>
    <w:pPr>
      <w:numPr>
        <w:ilvl w:val="7"/>
        <w:numId w:val="1"/>
      </w:numPr>
      <w:ind w:left="0"/>
      <w:jc w:val="center"/>
    </w:pPr>
    <w:rPr>
      <w:szCs w:val="20"/>
    </w:rPr>
  </w:style>
  <w:style w:type="character" w:customStyle="1" w:styleId="180">
    <w:name w:val="正文（首行缩进两字） Char1 Char"/>
    <w:qFormat/>
    <w:uiPriority w:val="0"/>
    <w:rPr>
      <w:rFonts w:eastAsia="宋体"/>
      <w:kern w:val="2"/>
      <w:sz w:val="24"/>
      <w:lang w:val="en-US" w:eastAsia="zh-CN" w:bidi="ar-SA"/>
    </w:rPr>
  </w:style>
  <w:style w:type="character" w:customStyle="1" w:styleId="181">
    <w:name w:val="hou表格文字 Char"/>
    <w:link w:val="182"/>
    <w:qFormat/>
    <w:uiPriority w:val="0"/>
    <w:rPr>
      <w:rFonts w:ascii="Calibri" w:hAnsi="Calibri"/>
      <w:bCs/>
      <w:sz w:val="18"/>
      <w:szCs w:val="21"/>
      <w:lang w:eastAsia="en-US" w:bidi="en-US"/>
    </w:rPr>
  </w:style>
  <w:style w:type="paragraph" w:customStyle="1" w:styleId="182">
    <w:name w:val="hou表格文字"/>
    <w:basedOn w:val="1"/>
    <w:link w:val="181"/>
    <w:qFormat/>
    <w:uiPriority w:val="0"/>
    <w:pPr>
      <w:spacing w:beforeLines="20" w:afterLines="20"/>
      <w:ind w:firstLine="200" w:firstLineChars="200"/>
      <w:jc w:val="left"/>
    </w:pPr>
    <w:rPr>
      <w:rFonts w:ascii="Calibri" w:hAnsi="Calibri"/>
      <w:bCs/>
      <w:kern w:val="0"/>
      <w:sz w:val="18"/>
      <w:szCs w:val="21"/>
      <w:lang w:eastAsia="en-US" w:bidi="en-US"/>
    </w:rPr>
  </w:style>
  <w:style w:type="character" w:customStyle="1" w:styleId="183">
    <w:name w:val="表正文 Char2"/>
    <w:qFormat/>
    <w:uiPriority w:val="0"/>
    <w:rPr>
      <w:rFonts w:eastAsia="宋体"/>
      <w:kern w:val="2"/>
      <w:sz w:val="24"/>
      <w:lang w:val="en-US" w:eastAsia="zh-CN" w:bidi="ar-SA"/>
    </w:rPr>
  </w:style>
  <w:style w:type="character" w:customStyle="1" w:styleId="184">
    <w:name w:val="设计正文 Char"/>
    <w:link w:val="185"/>
    <w:qFormat/>
    <w:uiPriority w:val="0"/>
    <w:rPr>
      <w:rFonts w:ascii="仿宋_GB2312" w:eastAsia="仿宋_GB2312" w:cs="宋体"/>
      <w:kern w:val="2"/>
      <w:sz w:val="28"/>
    </w:rPr>
  </w:style>
  <w:style w:type="paragraph" w:customStyle="1" w:styleId="185">
    <w:name w:val="设计正文"/>
    <w:basedOn w:val="1"/>
    <w:link w:val="184"/>
    <w:qFormat/>
    <w:uiPriority w:val="0"/>
    <w:pPr>
      <w:spacing w:line="300" w:lineRule="auto"/>
      <w:ind w:firstLine="480" w:firstLineChars="200"/>
      <w:jc w:val="left"/>
    </w:pPr>
    <w:rPr>
      <w:rFonts w:ascii="仿宋_GB2312" w:eastAsia="仿宋_GB2312"/>
      <w:sz w:val="28"/>
      <w:szCs w:val="20"/>
    </w:rPr>
  </w:style>
  <w:style w:type="character" w:customStyle="1" w:styleId="186">
    <w:name w:val="Char Char18"/>
    <w:qFormat/>
    <w:uiPriority w:val="0"/>
    <w:rPr>
      <w:rFonts w:eastAsia="黑体"/>
      <w:bCs/>
      <w:kern w:val="2"/>
      <w:sz w:val="36"/>
      <w:szCs w:val="36"/>
      <w:lang w:val="en-US" w:eastAsia="zh-CN" w:bidi="ar-SA"/>
    </w:rPr>
  </w:style>
  <w:style w:type="character" w:customStyle="1" w:styleId="187">
    <w:name w:val="设计正文加粗 Char"/>
    <w:link w:val="188"/>
    <w:qFormat/>
    <w:uiPriority w:val="0"/>
    <w:rPr>
      <w:rFonts w:ascii="仿宋_GB2312" w:eastAsia="仿宋_GB2312" w:cs="宋体"/>
      <w:b/>
      <w:bCs/>
      <w:kern w:val="2"/>
      <w:sz w:val="24"/>
    </w:rPr>
  </w:style>
  <w:style w:type="paragraph" w:customStyle="1" w:styleId="188">
    <w:name w:val="设计正文加粗"/>
    <w:basedOn w:val="1"/>
    <w:link w:val="187"/>
    <w:qFormat/>
    <w:uiPriority w:val="0"/>
    <w:pPr>
      <w:spacing w:line="300" w:lineRule="auto"/>
      <w:ind w:firstLine="482" w:firstLineChars="200"/>
      <w:jc w:val="left"/>
    </w:pPr>
    <w:rPr>
      <w:rFonts w:ascii="仿宋_GB2312" w:eastAsia="仿宋_GB2312"/>
      <w:b/>
      <w:bCs/>
      <w:sz w:val="24"/>
      <w:szCs w:val="20"/>
    </w:rPr>
  </w:style>
  <w:style w:type="character" w:customStyle="1" w:styleId="189">
    <w:name w:val="正文不空 Char"/>
    <w:link w:val="190"/>
    <w:qFormat/>
    <w:uiPriority w:val="0"/>
    <w:rPr>
      <w:rFonts w:ascii="Arial" w:hAnsi="Arial" w:eastAsia="仿宋_GB2312"/>
      <w:kern w:val="2"/>
      <w:sz w:val="28"/>
      <w:szCs w:val="32"/>
    </w:rPr>
  </w:style>
  <w:style w:type="paragraph" w:customStyle="1" w:styleId="190">
    <w:name w:val="正文不空"/>
    <w:basedOn w:val="1"/>
    <w:link w:val="189"/>
    <w:qFormat/>
    <w:uiPriority w:val="0"/>
    <w:pPr>
      <w:ind w:firstLine="200" w:firstLineChars="200"/>
      <w:jc w:val="center"/>
    </w:pPr>
    <w:rPr>
      <w:rFonts w:ascii="Arial" w:hAnsi="Arial" w:eastAsia="仿宋_GB2312"/>
      <w:sz w:val="28"/>
      <w:szCs w:val="32"/>
    </w:rPr>
  </w:style>
  <w:style w:type="character" w:customStyle="1" w:styleId="191">
    <w:name w:val="表格 Char"/>
    <w:link w:val="192"/>
    <w:qFormat/>
    <w:uiPriority w:val="0"/>
    <w:rPr>
      <w:rFonts w:ascii="Arial" w:hAnsi="Arial" w:eastAsia="仿宋_GB2312"/>
      <w:bCs/>
      <w:kern w:val="2"/>
      <w:sz w:val="24"/>
      <w:szCs w:val="32"/>
    </w:rPr>
  </w:style>
  <w:style w:type="paragraph" w:customStyle="1" w:styleId="192">
    <w:name w:val="表格"/>
    <w:basedOn w:val="1"/>
    <w:next w:val="1"/>
    <w:link w:val="191"/>
    <w:qFormat/>
    <w:uiPriority w:val="0"/>
    <w:pPr>
      <w:ind w:firstLine="200" w:firstLineChars="200"/>
      <w:jc w:val="center"/>
    </w:pPr>
    <w:rPr>
      <w:rFonts w:ascii="Arial" w:hAnsi="Arial" w:eastAsia="仿宋_GB2312"/>
      <w:bCs/>
      <w:sz w:val="24"/>
      <w:szCs w:val="32"/>
    </w:rPr>
  </w:style>
  <w:style w:type="character" w:customStyle="1" w:styleId="193">
    <w:name w:val="样式 正文缩进表正文正文非缩进正文对齐标题4Alt+Xmr正文缩进特点Normal Indent正文缩进Wil...3 Char"/>
    <w:link w:val="194"/>
    <w:qFormat/>
    <w:uiPriority w:val="0"/>
    <w:rPr>
      <w:rFonts w:ascii="宋体" w:hAnsi="宋体"/>
      <w:kern w:val="2"/>
      <w:sz w:val="24"/>
    </w:rPr>
  </w:style>
  <w:style w:type="paragraph" w:customStyle="1" w:styleId="194">
    <w:name w:val="样式 正文缩进表正文正文非缩进正文对齐标题4Alt+Xmr正文缩进特点Normal Indent正文缩进Wil...3"/>
    <w:basedOn w:val="19"/>
    <w:link w:val="193"/>
    <w:qFormat/>
    <w:uiPriority w:val="0"/>
    <w:pPr>
      <w:widowControl w:val="0"/>
      <w:spacing w:beforeLines="30"/>
      <w:ind w:firstLine="510" w:firstLineChars="200"/>
    </w:pPr>
    <w:rPr>
      <w:rFonts w:ascii="宋体" w:hAnsi="宋体"/>
      <w:kern w:val="2"/>
      <w:sz w:val="24"/>
    </w:rPr>
  </w:style>
  <w:style w:type="character" w:customStyle="1" w:styleId="195">
    <w:name w:val="文档正文 Char1"/>
    <w:link w:val="196"/>
    <w:qFormat/>
    <w:uiPriority w:val="0"/>
    <w:rPr>
      <w:rFonts w:ascii="长城仿宋" w:hAnsi="长城仿宋" w:eastAsia="长城仿宋" w:cs="Tahoma"/>
      <w:b/>
      <w:w w:val="80"/>
      <w:kern w:val="1"/>
      <w:sz w:val="28"/>
    </w:rPr>
  </w:style>
  <w:style w:type="paragraph" w:customStyle="1" w:styleId="196">
    <w:name w:val="文档正文"/>
    <w:basedOn w:val="1"/>
    <w:link w:val="195"/>
    <w:qFormat/>
    <w:uiPriority w:val="0"/>
    <w:pPr>
      <w:suppressAutoHyphens/>
      <w:spacing w:line="312" w:lineRule="atLeast"/>
      <w:ind w:firstLine="567"/>
      <w:jc w:val="left"/>
      <w:textAlignment w:val="baseline"/>
    </w:pPr>
    <w:rPr>
      <w:rFonts w:ascii="长城仿宋" w:hAnsi="长城仿宋" w:eastAsia="长城仿宋"/>
      <w:b/>
      <w:w w:val="80"/>
      <w:kern w:val="1"/>
      <w:sz w:val="28"/>
      <w:szCs w:val="20"/>
    </w:rPr>
  </w:style>
  <w:style w:type="character" w:customStyle="1" w:styleId="197">
    <w:name w:val="样式28 Char"/>
    <w:link w:val="198"/>
    <w:qFormat/>
    <w:uiPriority w:val="0"/>
    <w:rPr>
      <w:b/>
      <w:kern w:val="2"/>
      <w:sz w:val="21"/>
      <w:szCs w:val="21"/>
    </w:rPr>
  </w:style>
  <w:style w:type="paragraph" w:customStyle="1" w:styleId="198">
    <w:name w:val="样式28"/>
    <w:basedOn w:val="160"/>
    <w:link w:val="197"/>
    <w:qFormat/>
    <w:uiPriority w:val="0"/>
    <w:pPr>
      <w:numPr>
        <w:ilvl w:val="0"/>
        <w:numId w:val="0"/>
      </w:numPr>
      <w:ind w:left="2690"/>
    </w:pPr>
    <w:rPr>
      <w:b/>
    </w:rPr>
  </w:style>
  <w:style w:type="character" w:customStyle="1" w:styleId="199">
    <w:name w:val="文档正文 Char"/>
    <w:qFormat/>
    <w:uiPriority w:val="0"/>
    <w:rPr>
      <w:rFonts w:eastAsia="仿宋_GB2312"/>
      <w:sz w:val="28"/>
    </w:rPr>
  </w:style>
  <w:style w:type="character" w:customStyle="1" w:styleId="200">
    <w:name w:val="正文文本 2 Char"/>
    <w:link w:val="45"/>
    <w:qFormat/>
    <w:uiPriority w:val="0"/>
    <w:rPr>
      <w:kern w:val="2"/>
      <w:sz w:val="21"/>
      <w:szCs w:val="24"/>
    </w:rPr>
  </w:style>
  <w:style w:type="character" w:customStyle="1" w:styleId="201">
    <w:name w:val="Char Char11"/>
    <w:qFormat/>
    <w:uiPriority w:val="0"/>
    <w:rPr>
      <w:kern w:val="2"/>
      <w:sz w:val="24"/>
    </w:rPr>
  </w:style>
  <w:style w:type="character" w:customStyle="1" w:styleId="202">
    <w:name w:val="Char Char2"/>
    <w:qFormat/>
    <w:uiPriority w:val="0"/>
    <w:rPr>
      <w:rFonts w:ascii="Arial" w:hAnsi="Arial" w:eastAsia="黑体"/>
      <w:b/>
      <w:kern w:val="2"/>
      <w:sz w:val="32"/>
      <w:lang w:val="en-US" w:eastAsia="zh-CN" w:bidi="ar-SA"/>
    </w:rPr>
  </w:style>
  <w:style w:type="character" w:customStyle="1" w:styleId="203">
    <w:name w:val="脚注文本 Char"/>
    <w:link w:val="39"/>
    <w:qFormat/>
    <w:uiPriority w:val="0"/>
    <w:rPr>
      <w:kern w:val="2"/>
      <w:sz w:val="18"/>
      <w:szCs w:val="18"/>
    </w:rPr>
  </w:style>
  <w:style w:type="character" w:customStyle="1" w:styleId="204">
    <w:name w:val="段 Char"/>
    <w:link w:val="205"/>
    <w:qFormat/>
    <w:uiPriority w:val="0"/>
    <w:rPr>
      <w:rFonts w:ascii="宋体"/>
      <w:sz w:val="21"/>
      <w:lang w:val="en-US" w:eastAsia="zh-CN" w:bidi="ar-SA"/>
    </w:rPr>
  </w:style>
  <w:style w:type="paragraph" w:customStyle="1" w:styleId="205">
    <w:name w:val="段"/>
    <w:link w:val="20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6">
    <w:name w:val="style2"/>
    <w:qFormat/>
    <w:uiPriority w:val="0"/>
  </w:style>
  <w:style w:type="character" w:customStyle="1" w:styleId="207">
    <w:name w:val="样式 样式 样式 正文缩进表正文正文非缩进正文对齐标题4Alt+Xmr正文缩进特点Normal Indent正文缩进Wil...... Char"/>
    <w:link w:val="208"/>
    <w:qFormat/>
    <w:uiPriority w:val="0"/>
    <w:rPr>
      <w:kern w:val="2"/>
      <w:sz w:val="24"/>
    </w:rPr>
  </w:style>
  <w:style w:type="paragraph" w:customStyle="1" w:styleId="208">
    <w:name w:val="样式 样式 样式 正文缩进表正文正文非缩进正文对齐标题4Alt+Xmr正文缩进特点Normal Indent正文缩进Wil......"/>
    <w:basedOn w:val="1"/>
    <w:link w:val="207"/>
    <w:qFormat/>
    <w:uiPriority w:val="0"/>
    <w:pPr>
      <w:spacing w:beforeLines="50" w:line="312" w:lineRule="auto"/>
      <w:ind w:firstLine="200" w:firstLineChars="200"/>
      <w:jc w:val="left"/>
    </w:pPr>
    <w:rPr>
      <w:sz w:val="24"/>
      <w:szCs w:val="20"/>
    </w:rPr>
  </w:style>
  <w:style w:type="character" w:customStyle="1" w:styleId="209">
    <w:name w:val="样式 首行缩进:  2.25 字符 Char"/>
    <w:link w:val="210"/>
    <w:qFormat/>
    <w:uiPriority w:val="0"/>
    <w:rPr>
      <w:kern w:val="2"/>
      <w:sz w:val="24"/>
    </w:rPr>
  </w:style>
  <w:style w:type="paragraph" w:customStyle="1" w:styleId="210">
    <w:name w:val="样式 首行缩进:  2.25 字符"/>
    <w:basedOn w:val="1"/>
    <w:link w:val="209"/>
    <w:qFormat/>
    <w:uiPriority w:val="0"/>
    <w:pPr>
      <w:ind w:firstLine="225" w:firstLineChars="225"/>
      <w:jc w:val="left"/>
    </w:pPr>
    <w:rPr>
      <w:sz w:val="24"/>
      <w:szCs w:val="20"/>
    </w:rPr>
  </w:style>
  <w:style w:type="character" w:customStyle="1" w:styleId="211">
    <w:name w:val="HTML 预设格式 Char"/>
    <w:link w:val="46"/>
    <w:qFormat/>
    <w:uiPriority w:val="0"/>
    <w:rPr>
      <w:rFonts w:ascii="Arial" w:hAnsi="Arial" w:cs="Arial"/>
      <w:sz w:val="24"/>
      <w:szCs w:val="24"/>
    </w:rPr>
  </w:style>
  <w:style w:type="character" w:customStyle="1" w:styleId="212">
    <w:name w:val="正文文本样式 Char"/>
    <w:link w:val="213"/>
    <w:qFormat/>
    <w:uiPriority w:val="0"/>
    <w:rPr>
      <w:kern w:val="2"/>
      <w:sz w:val="24"/>
      <w:szCs w:val="22"/>
      <w:lang w:val="en-US" w:eastAsia="zh-CN" w:bidi="ar-SA"/>
    </w:rPr>
  </w:style>
  <w:style w:type="paragraph" w:customStyle="1" w:styleId="213">
    <w:name w:val="正文文本样式"/>
    <w:link w:val="212"/>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character" w:customStyle="1" w:styleId="214">
    <w:name w:val="text"/>
    <w:qFormat/>
    <w:uiPriority w:val="0"/>
  </w:style>
  <w:style w:type="character" w:customStyle="1" w:styleId="215">
    <w:name w:val="apple-style-span"/>
    <w:qFormat/>
    <w:uiPriority w:val="0"/>
  </w:style>
  <w:style w:type="character" w:customStyle="1" w:styleId="216">
    <w:name w:val="默认样式 Char"/>
    <w:link w:val="217"/>
    <w:qFormat/>
    <w:uiPriority w:val="0"/>
    <w:rPr>
      <w:rFonts w:ascii="微软雅黑" w:hAnsi="微软雅黑" w:eastAsia="微软雅黑"/>
      <w:kern w:val="2"/>
      <w:sz w:val="24"/>
      <w:szCs w:val="24"/>
    </w:rPr>
  </w:style>
  <w:style w:type="paragraph" w:customStyle="1" w:styleId="217">
    <w:name w:val="默认样式"/>
    <w:basedOn w:val="167"/>
    <w:link w:val="216"/>
    <w:qFormat/>
    <w:uiPriority w:val="0"/>
    <w:pPr>
      <w:tabs>
        <w:tab w:val="clear" w:pos="360"/>
      </w:tabs>
      <w:spacing w:line="480" w:lineRule="exact"/>
      <w:ind w:left="0" w:firstLine="567"/>
      <w:jc w:val="left"/>
      <w:textAlignment w:val="auto"/>
    </w:pPr>
    <w:rPr>
      <w:rFonts w:ascii="微软雅黑" w:hAnsi="微软雅黑" w:eastAsia="微软雅黑"/>
      <w:kern w:val="2"/>
      <w:sz w:val="24"/>
      <w:szCs w:val="24"/>
    </w:rPr>
  </w:style>
  <w:style w:type="character" w:customStyle="1" w:styleId="218">
    <w:name w:val="文档正文 Char Char"/>
    <w:qFormat/>
    <w:uiPriority w:val="0"/>
    <w:rPr>
      <w:rFonts w:ascii="宋体"/>
      <w:sz w:val="24"/>
    </w:rPr>
  </w:style>
  <w:style w:type="character" w:customStyle="1" w:styleId="219">
    <w:name w:val="题注 Char"/>
    <w:link w:val="20"/>
    <w:qFormat/>
    <w:uiPriority w:val="0"/>
    <w:rPr>
      <w:rFonts w:ascii="Arial" w:hAnsi="Arial" w:eastAsia="黑体"/>
      <w:kern w:val="2"/>
    </w:rPr>
  </w:style>
  <w:style w:type="character" w:customStyle="1" w:styleId="220">
    <w:name w:val="!RepPar_alt+p Char"/>
    <w:link w:val="221"/>
    <w:qFormat/>
    <w:uiPriority w:val="0"/>
    <w:rPr>
      <w:kern w:val="2"/>
      <w:sz w:val="24"/>
      <w:szCs w:val="24"/>
    </w:rPr>
  </w:style>
  <w:style w:type="paragraph" w:customStyle="1" w:styleId="221">
    <w:name w:val="!RepPar_alt+p"/>
    <w:basedOn w:val="1"/>
    <w:link w:val="220"/>
    <w:qFormat/>
    <w:uiPriority w:val="0"/>
    <w:pPr>
      <w:ind w:firstLine="200" w:firstLineChars="200"/>
    </w:pPr>
    <w:rPr>
      <w:sz w:val="24"/>
    </w:rPr>
  </w:style>
  <w:style w:type="character" w:customStyle="1" w:styleId="222">
    <w:name w:val="Body1! Char"/>
    <w:link w:val="223"/>
    <w:qFormat/>
    <w:uiPriority w:val="0"/>
    <w:rPr>
      <w:rFonts w:ascii="Arial" w:hAnsi="Arial"/>
      <w:sz w:val="21"/>
      <w:szCs w:val="21"/>
    </w:rPr>
  </w:style>
  <w:style w:type="paragraph" w:customStyle="1" w:styleId="223">
    <w:name w:val="Body1!"/>
    <w:basedOn w:val="1"/>
    <w:link w:val="222"/>
    <w:qFormat/>
    <w:uiPriority w:val="0"/>
    <w:pPr>
      <w:widowControl/>
      <w:tabs>
        <w:tab w:val="left" w:pos="1247"/>
      </w:tabs>
      <w:spacing w:before="120" w:line="288" w:lineRule="auto"/>
      <w:ind w:left="1247" w:firstLine="200" w:firstLineChars="200"/>
    </w:pPr>
    <w:rPr>
      <w:rFonts w:ascii="Arial" w:hAnsi="Arial"/>
      <w:kern w:val="0"/>
      <w:szCs w:val="21"/>
    </w:rPr>
  </w:style>
  <w:style w:type="character" w:customStyle="1" w:styleId="224">
    <w:name w:val="DocParagraph Char"/>
    <w:link w:val="225"/>
    <w:qFormat/>
    <w:uiPriority w:val="0"/>
    <w:rPr>
      <w:rFonts w:ascii="Arial" w:hAnsi="Arial" w:cs="黑体"/>
      <w:kern w:val="44"/>
      <w:sz w:val="21"/>
      <w:szCs w:val="44"/>
    </w:rPr>
  </w:style>
  <w:style w:type="paragraph" w:customStyle="1" w:styleId="225">
    <w:name w:val="DocParagraph"/>
    <w:basedOn w:val="1"/>
    <w:link w:val="224"/>
    <w:qFormat/>
    <w:uiPriority w:val="0"/>
    <w:pPr>
      <w:spacing w:before="120" w:line="288" w:lineRule="auto"/>
      <w:ind w:left="1247"/>
    </w:pPr>
    <w:rPr>
      <w:rFonts w:ascii="Arial" w:hAnsi="Arial"/>
      <w:kern w:val="44"/>
      <w:szCs w:val="44"/>
    </w:rPr>
  </w:style>
  <w:style w:type="character" w:customStyle="1" w:styleId="226">
    <w:name w:val="栖霞3级标题 Char"/>
    <w:link w:val="227"/>
    <w:qFormat/>
    <w:uiPriority w:val="0"/>
    <w:rPr>
      <w:rFonts w:ascii="微软雅黑" w:hAnsi="微软雅黑" w:eastAsia="微软雅黑" w:cs="黑体"/>
      <w:b/>
      <w:bCs/>
      <w:kern w:val="44"/>
      <w:sz w:val="28"/>
      <w:szCs w:val="24"/>
    </w:rPr>
  </w:style>
  <w:style w:type="paragraph" w:customStyle="1" w:styleId="227">
    <w:name w:val="栖霞3级标题"/>
    <w:basedOn w:val="5"/>
    <w:link w:val="226"/>
    <w:qFormat/>
    <w:uiPriority w:val="0"/>
    <w:pPr>
      <w:widowControl/>
      <w:tabs>
        <w:tab w:val="left" w:pos="284"/>
        <w:tab w:val="left" w:pos="1239"/>
      </w:tabs>
      <w:spacing w:beforeLines="50" w:afterLines="50" w:line="240" w:lineRule="auto"/>
      <w:ind w:left="-284" w:right="210" w:rightChars="100" w:firstLine="568"/>
    </w:pPr>
    <w:rPr>
      <w:rFonts w:ascii="微软雅黑" w:hAnsi="微软雅黑" w:eastAsia="微软雅黑"/>
      <w:kern w:val="44"/>
      <w:sz w:val="28"/>
      <w:szCs w:val="24"/>
    </w:rPr>
  </w:style>
  <w:style w:type="character" w:customStyle="1" w:styleId="228">
    <w:name w:val="栖霞4级标题 Char"/>
    <w:link w:val="229"/>
    <w:qFormat/>
    <w:uiPriority w:val="0"/>
    <w:rPr>
      <w:rFonts w:ascii="微软雅黑" w:hAnsi="微软雅黑" w:eastAsia="微软雅黑" w:cs="黑体"/>
      <w:b/>
      <w:bCs/>
      <w:kern w:val="44"/>
      <w:sz w:val="24"/>
      <w:szCs w:val="24"/>
    </w:rPr>
  </w:style>
  <w:style w:type="paragraph" w:customStyle="1" w:styleId="229">
    <w:name w:val="栖霞4级标题"/>
    <w:basedOn w:val="6"/>
    <w:link w:val="228"/>
    <w:qFormat/>
    <w:uiPriority w:val="0"/>
    <w:pPr>
      <w:tabs>
        <w:tab w:val="left" w:pos="794"/>
        <w:tab w:val="left" w:pos="1239"/>
      </w:tabs>
      <w:spacing w:beforeLines="50" w:afterLines="50" w:line="240" w:lineRule="auto"/>
      <w:ind w:left="284" w:right="100" w:rightChars="100" w:firstLine="283"/>
    </w:pPr>
    <w:rPr>
      <w:rFonts w:ascii="微软雅黑" w:hAnsi="微软雅黑" w:eastAsia="微软雅黑"/>
      <w:kern w:val="44"/>
      <w:sz w:val="24"/>
      <w:szCs w:val="24"/>
    </w:rPr>
  </w:style>
  <w:style w:type="character" w:customStyle="1" w:styleId="230">
    <w:name w:val="*正文 Char"/>
    <w:link w:val="231"/>
    <w:qFormat/>
    <w:uiPriority w:val="0"/>
    <w:rPr>
      <w:rFonts w:ascii="宋体" w:hAnsi="宋体" w:eastAsia="仿宋"/>
      <w:sz w:val="24"/>
      <w:szCs w:val="24"/>
    </w:rPr>
  </w:style>
  <w:style w:type="paragraph" w:customStyle="1" w:styleId="231">
    <w:name w:val="*正文"/>
    <w:basedOn w:val="1"/>
    <w:link w:val="230"/>
    <w:qFormat/>
    <w:uiPriority w:val="0"/>
    <w:pPr>
      <w:widowControl/>
      <w:ind w:firstLine="200" w:firstLineChars="200"/>
      <w:jc w:val="left"/>
    </w:pPr>
    <w:rPr>
      <w:rFonts w:ascii="宋体" w:hAnsi="宋体" w:eastAsia="仿宋"/>
      <w:kern w:val="0"/>
      <w:sz w:val="24"/>
    </w:rPr>
  </w:style>
  <w:style w:type="character" w:customStyle="1" w:styleId="232">
    <w:name w:val="NotSortedNumbering1 Char"/>
    <w:link w:val="233"/>
    <w:qFormat/>
    <w:uiPriority w:val="1"/>
    <w:rPr>
      <w:rFonts w:ascii="Arial" w:hAnsi="Arial"/>
      <w:kern w:val="44"/>
      <w:sz w:val="21"/>
      <w:szCs w:val="44"/>
    </w:rPr>
  </w:style>
  <w:style w:type="paragraph" w:customStyle="1" w:styleId="233">
    <w:name w:val="NotSortedNumbering1"/>
    <w:basedOn w:val="1"/>
    <w:link w:val="232"/>
    <w:qFormat/>
    <w:uiPriority w:val="1"/>
    <w:pPr>
      <w:spacing w:before="120" w:line="288" w:lineRule="auto"/>
      <w:ind w:left="1701" w:hanging="453"/>
    </w:pPr>
    <w:rPr>
      <w:rFonts w:ascii="Arial" w:hAnsi="Arial"/>
      <w:kern w:val="44"/>
      <w:szCs w:val="44"/>
    </w:rPr>
  </w:style>
  <w:style w:type="character" w:customStyle="1" w:styleId="234">
    <w:name w:val="正文文本 Char1"/>
    <w:qFormat/>
    <w:uiPriority w:val="0"/>
    <w:rPr>
      <w:kern w:val="2"/>
      <w:sz w:val="24"/>
      <w:szCs w:val="24"/>
    </w:rPr>
  </w:style>
  <w:style w:type="character" w:customStyle="1" w:styleId="235">
    <w:name w:val="规划内容 Char"/>
    <w:link w:val="236"/>
    <w:qFormat/>
    <w:locked/>
    <w:uiPriority w:val="99"/>
    <w:rPr>
      <w:rFonts w:ascii="仿宋_GB2312" w:hAnsi="Calibri" w:eastAsia="仿宋_GB2312"/>
      <w:sz w:val="28"/>
      <w:szCs w:val="28"/>
    </w:rPr>
  </w:style>
  <w:style w:type="paragraph" w:customStyle="1" w:styleId="236">
    <w:name w:val="规划内容"/>
    <w:basedOn w:val="1"/>
    <w:link w:val="235"/>
    <w:qFormat/>
    <w:uiPriority w:val="99"/>
    <w:pPr>
      <w:widowControl/>
      <w:ind w:firstLine="560" w:firstLineChars="200"/>
    </w:pPr>
    <w:rPr>
      <w:rFonts w:ascii="仿宋_GB2312" w:hAnsi="Calibri" w:eastAsia="仿宋_GB2312"/>
      <w:kern w:val="0"/>
      <w:sz w:val="28"/>
      <w:szCs w:val="28"/>
    </w:rPr>
  </w:style>
  <w:style w:type="character" w:customStyle="1" w:styleId="237">
    <w:name w:val="不明显参考1"/>
    <w:qFormat/>
    <w:uiPriority w:val="31"/>
    <w:rPr>
      <w:smallCaps/>
      <w:color w:val="C0504D"/>
      <w:u w:val="single"/>
    </w:rPr>
  </w:style>
  <w:style w:type="character" w:customStyle="1" w:styleId="238">
    <w:name w:val="带缩进的正文 Char"/>
    <w:link w:val="239"/>
    <w:qFormat/>
    <w:uiPriority w:val="0"/>
    <w:rPr>
      <w:rFonts w:ascii="Calibri" w:hAnsi="Calibri"/>
      <w:kern w:val="2"/>
      <w:sz w:val="24"/>
      <w:szCs w:val="22"/>
    </w:rPr>
  </w:style>
  <w:style w:type="paragraph" w:customStyle="1" w:styleId="239">
    <w:name w:val="带缩进的正文"/>
    <w:basedOn w:val="1"/>
    <w:link w:val="238"/>
    <w:qFormat/>
    <w:uiPriority w:val="0"/>
    <w:pPr>
      <w:ind w:firstLine="480" w:firstLineChars="200"/>
    </w:pPr>
    <w:rPr>
      <w:rFonts w:ascii="Calibri" w:hAnsi="Calibri"/>
      <w:sz w:val="24"/>
      <w:szCs w:val="22"/>
    </w:rPr>
  </w:style>
  <w:style w:type="character" w:customStyle="1" w:styleId="240">
    <w:name w:val="_正文段落 Char"/>
    <w:link w:val="241"/>
    <w:qFormat/>
    <w:uiPriority w:val="0"/>
    <w:rPr>
      <w:rFonts w:ascii="宋体" w:hAnsi="宋体"/>
      <w:kern w:val="2"/>
      <w:sz w:val="24"/>
      <w:szCs w:val="24"/>
    </w:rPr>
  </w:style>
  <w:style w:type="paragraph" w:customStyle="1" w:styleId="241">
    <w:name w:val="_正文段落"/>
    <w:basedOn w:val="1"/>
    <w:link w:val="240"/>
    <w:qFormat/>
    <w:uiPriority w:val="0"/>
    <w:pPr>
      <w:spacing w:beforeLines="15" w:afterLines="15"/>
      <w:ind w:firstLine="480" w:firstLineChars="200"/>
    </w:pPr>
    <w:rPr>
      <w:rFonts w:ascii="宋体" w:hAnsi="宋体"/>
      <w:sz w:val="24"/>
    </w:rPr>
  </w:style>
  <w:style w:type="character" w:customStyle="1" w:styleId="242">
    <w:name w:val="description"/>
    <w:qFormat/>
    <w:uiPriority w:val="0"/>
  </w:style>
  <w:style w:type="character" w:customStyle="1" w:styleId="243">
    <w:name w:val="引用 Char"/>
    <w:link w:val="244"/>
    <w:qFormat/>
    <w:uiPriority w:val="29"/>
    <w:rPr>
      <w:i/>
      <w:iCs/>
      <w:color w:val="000000"/>
      <w:kern w:val="2"/>
      <w:sz w:val="24"/>
      <w:szCs w:val="24"/>
    </w:rPr>
  </w:style>
  <w:style w:type="paragraph" w:styleId="244">
    <w:name w:val="Quote"/>
    <w:basedOn w:val="1"/>
    <w:next w:val="1"/>
    <w:link w:val="243"/>
    <w:qFormat/>
    <w:uiPriority w:val="29"/>
    <w:pPr>
      <w:spacing w:line="415" w:lineRule="auto"/>
      <w:ind w:firstLine="200" w:firstLineChars="200"/>
    </w:pPr>
    <w:rPr>
      <w:i/>
      <w:iCs/>
      <w:color w:val="000000"/>
      <w:sz w:val="24"/>
    </w:rPr>
  </w:style>
  <w:style w:type="character" w:customStyle="1" w:styleId="245">
    <w:name w:val="z-窗体顶端 Char"/>
    <w:link w:val="246"/>
    <w:qFormat/>
    <w:uiPriority w:val="99"/>
    <w:rPr>
      <w:rFonts w:ascii="Arial" w:hAnsi="Arial" w:cs="Arial"/>
      <w:vanish/>
      <w:sz w:val="16"/>
      <w:szCs w:val="16"/>
    </w:rPr>
  </w:style>
  <w:style w:type="paragraph" w:customStyle="1" w:styleId="246">
    <w:name w:val="z-窗体顶端1"/>
    <w:basedOn w:val="1"/>
    <w:next w:val="1"/>
    <w:link w:val="245"/>
    <w:unhideWhenUsed/>
    <w:qFormat/>
    <w:uiPriority w:val="99"/>
    <w:pPr>
      <w:widowControl/>
      <w:pBdr>
        <w:bottom w:val="single" w:color="auto" w:sz="6" w:space="1"/>
      </w:pBdr>
      <w:spacing w:line="240" w:lineRule="auto"/>
      <w:jc w:val="center"/>
    </w:pPr>
    <w:rPr>
      <w:rFonts w:ascii="Arial" w:hAnsi="Arial"/>
      <w:vanish/>
      <w:kern w:val="0"/>
      <w:sz w:val="16"/>
      <w:szCs w:val="16"/>
    </w:rPr>
  </w:style>
  <w:style w:type="character" w:customStyle="1" w:styleId="247">
    <w:name w:val="z-窗体底端 Char"/>
    <w:link w:val="248"/>
    <w:qFormat/>
    <w:uiPriority w:val="99"/>
    <w:rPr>
      <w:rFonts w:ascii="Arial" w:hAnsi="Arial" w:cs="Arial"/>
      <w:vanish/>
      <w:sz w:val="16"/>
      <w:szCs w:val="16"/>
    </w:rPr>
  </w:style>
  <w:style w:type="paragraph" w:customStyle="1" w:styleId="248">
    <w:name w:val="z-窗体底端1"/>
    <w:basedOn w:val="1"/>
    <w:next w:val="1"/>
    <w:link w:val="247"/>
    <w:unhideWhenUsed/>
    <w:qFormat/>
    <w:uiPriority w:val="99"/>
    <w:pPr>
      <w:widowControl/>
      <w:pBdr>
        <w:top w:val="single" w:color="auto" w:sz="6" w:space="1"/>
      </w:pBdr>
      <w:spacing w:line="240" w:lineRule="auto"/>
      <w:jc w:val="center"/>
    </w:pPr>
    <w:rPr>
      <w:rFonts w:ascii="Arial" w:hAnsi="Arial"/>
      <w:vanish/>
      <w:kern w:val="0"/>
      <w:sz w:val="16"/>
      <w:szCs w:val="16"/>
    </w:rPr>
  </w:style>
  <w:style w:type="character" w:customStyle="1" w:styleId="249">
    <w:name w:val="正文李杰 Char"/>
    <w:link w:val="250"/>
    <w:qFormat/>
    <w:uiPriority w:val="0"/>
    <w:rPr>
      <w:rFonts w:ascii="宋体" w:hAnsi="宋体"/>
      <w:kern w:val="2"/>
      <w:sz w:val="24"/>
      <w:szCs w:val="21"/>
    </w:rPr>
  </w:style>
  <w:style w:type="paragraph" w:customStyle="1" w:styleId="250">
    <w:name w:val="正文李杰"/>
    <w:basedOn w:val="32"/>
    <w:link w:val="249"/>
    <w:qFormat/>
    <w:uiPriority w:val="0"/>
    <w:pPr>
      <w:spacing w:after="0" w:line="360" w:lineRule="auto"/>
      <w:ind w:left="0" w:leftChars="0" w:firstLine="200" w:firstLineChars="200"/>
    </w:pPr>
    <w:rPr>
      <w:rFonts w:ascii="宋体" w:hAnsi="宋体"/>
      <w:sz w:val="24"/>
      <w:szCs w:val="21"/>
    </w:rPr>
  </w:style>
  <w:style w:type="character" w:customStyle="1" w:styleId="251">
    <w:name w:val="正文文本缩进 2 Char"/>
    <w:link w:val="32"/>
    <w:qFormat/>
    <w:uiPriority w:val="0"/>
    <w:rPr>
      <w:kern w:val="2"/>
      <w:sz w:val="21"/>
      <w:szCs w:val="24"/>
    </w:rPr>
  </w:style>
  <w:style w:type="character" w:customStyle="1" w:styleId="252">
    <w:name w:val="小标题1 Char"/>
    <w:link w:val="253"/>
    <w:qFormat/>
    <w:uiPriority w:val="0"/>
    <w:rPr>
      <w:rFonts w:ascii="宋体" w:hAnsi="宋体"/>
      <w:b/>
      <w:bCs/>
      <w:color w:val="3A3A3A"/>
      <w:kern w:val="2"/>
      <w:sz w:val="24"/>
      <w:szCs w:val="21"/>
    </w:rPr>
  </w:style>
  <w:style w:type="paragraph" w:customStyle="1" w:styleId="253">
    <w:name w:val="小标题1"/>
    <w:basedOn w:val="1"/>
    <w:link w:val="252"/>
    <w:qFormat/>
    <w:uiPriority w:val="0"/>
    <w:pPr>
      <w:tabs>
        <w:tab w:val="left" w:pos="883"/>
      </w:tabs>
      <w:spacing w:beforeLines="50" w:afterLines="20" w:line="240" w:lineRule="auto"/>
      <w:ind w:left="883" w:hanging="420"/>
    </w:pPr>
    <w:rPr>
      <w:rFonts w:ascii="宋体" w:hAnsi="宋体"/>
      <w:b/>
      <w:bCs/>
      <w:color w:val="3A3A3A"/>
      <w:sz w:val="24"/>
      <w:szCs w:val="21"/>
    </w:rPr>
  </w:style>
  <w:style w:type="character" w:customStyle="1" w:styleId="254">
    <w:name w:val="小标题3 Char"/>
    <w:link w:val="255"/>
    <w:qFormat/>
    <w:uiPriority w:val="0"/>
    <w:rPr>
      <w:rFonts w:ascii="宋体" w:hAnsi="宋体"/>
      <w:color w:val="000000"/>
      <w:kern w:val="2"/>
      <w:sz w:val="24"/>
      <w:szCs w:val="24"/>
    </w:rPr>
  </w:style>
  <w:style w:type="paragraph" w:customStyle="1" w:styleId="255">
    <w:name w:val="小标题3"/>
    <w:basedOn w:val="1"/>
    <w:link w:val="254"/>
    <w:qFormat/>
    <w:uiPriority w:val="0"/>
    <w:pPr>
      <w:spacing w:before="156" w:after="62"/>
      <w:ind w:left="1163" w:hanging="420"/>
    </w:pPr>
    <w:rPr>
      <w:rFonts w:ascii="宋体" w:hAnsi="宋体"/>
      <w:color w:val="000000"/>
      <w:sz w:val="24"/>
    </w:rPr>
  </w:style>
  <w:style w:type="character" w:customStyle="1" w:styleId="256">
    <w:name w:val="123 Char"/>
    <w:link w:val="257"/>
    <w:qFormat/>
    <w:uiPriority w:val="0"/>
    <w:rPr>
      <w:rFonts w:ascii="仿宋_GB2312" w:eastAsia="仿宋_GB2312"/>
      <w:kern w:val="2"/>
      <w:sz w:val="30"/>
      <w:szCs w:val="24"/>
    </w:rPr>
  </w:style>
  <w:style w:type="paragraph" w:customStyle="1" w:styleId="257">
    <w:name w:val="123"/>
    <w:basedOn w:val="1"/>
    <w:link w:val="256"/>
    <w:qFormat/>
    <w:uiPriority w:val="0"/>
    <w:pPr>
      <w:spacing w:line="500" w:lineRule="exact"/>
      <w:ind w:firstLine="600" w:firstLineChars="200"/>
    </w:pPr>
    <w:rPr>
      <w:rFonts w:ascii="仿宋_GB2312" w:eastAsia="仿宋_GB2312"/>
      <w:sz w:val="30"/>
    </w:rPr>
  </w:style>
  <w:style w:type="character" w:customStyle="1" w:styleId="258">
    <w:name w:val="正文首行缩进 2 Char"/>
    <w:basedOn w:val="92"/>
    <w:link w:val="35"/>
    <w:qFormat/>
    <w:uiPriority w:val="0"/>
  </w:style>
  <w:style w:type="character" w:customStyle="1" w:styleId="259">
    <w:name w:val="样式7 Char"/>
    <w:qFormat/>
    <w:uiPriority w:val="0"/>
    <w:rPr>
      <w:rFonts w:ascii="Arial" w:hAnsi="Arial" w:eastAsia="黑体"/>
      <w:bCs/>
      <w:kern w:val="2"/>
      <w:sz w:val="28"/>
      <w:szCs w:val="28"/>
    </w:rPr>
  </w:style>
  <w:style w:type="character" w:customStyle="1" w:styleId="260">
    <w:name w:val="文档结构图 Char"/>
    <w:link w:val="21"/>
    <w:semiHidden/>
    <w:qFormat/>
    <w:uiPriority w:val="0"/>
    <w:rPr>
      <w:kern w:val="2"/>
      <w:sz w:val="21"/>
      <w:szCs w:val="24"/>
      <w:shd w:val="clear" w:color="auto" w:fill="000080"/>
    </w:rPr>
  </w:style>
  <w:style w:type="character" w:customStyle="1" w:styleId="261">
    <w:name w:val="方案正文 Char"/>
    <w:link w:val="262"/>
    <w:qFormat/>
    <w:uiPriority w:val="0"/>
    <w:rPr>
      <w:rFonts w:ascii="宋体"/>
      <w:kern w:val="2"/>
      <w:sz w:val="21"/>
      <w:szCs w:val="21"/>
    </w:rPr>
  </w:style>
  <w:style w:type="paragraph" w:customStyle="1" w:styleId="262">
    <w:name w:val="方案正文"/>
    <w:basedOn w:val="1"/>
    <w:link w:val="261"/>
    <w:qFormat/>
    <w:uiPriority w:val="0"/>
    <w:pPr>
      <w:spacing w:before="120"/>
      <w:ind w:firstLine="482"/>
    </w:pPr>
    <w:rPr>
      <w:rFonts w:ascii="宋体"/>
      <w:szCs w:val="21"/>
    </w:rPr>
  </w:style>
  <w:style w:type="paragraph" w:customStyle="1" w:styleId="263">
    <w:name w:val="Char Char1"/>
    <w:basedOn w:val="1"/>
    <w:qFormat/>
    <w:uiPriority w:val="0"/>
    <w:pPr>
      <w:widowControl/>
      <w:spacing w:after="160" w:line="240" w:lineRule="exact"/>
      <w:jc w:val="left"/>
    </w:pPr>
  </w:style>
  <w:style w:type="paragraph" w:customStyle="1" w:styleId="264">
    <w:name w:val="light5"/>
    <w:basedOn w:val="8"/>
    <w:qFormat/>
    <w:uiPriority w:val="0"/>
    <w:pPr>
      <w:numPr>
        <w:ilvl w:val="4"/>
        <w:numId w:val="3"/>
      </w:numPr>
      <w:adjustRightInd/>
      <w:spacing w:line="320" w:lineRule="auto"/>
      <w:jc w:val="both"/>
      <w:textAlignment w:val="auto"/>
    </w:pPr>
    <w:rPr>
      <w:kern w:val="2"/>
    </w:rPr>
  </w:style>
  <w:style w:type="paragraph" w:customStyle="1" w:styleId="265">
    <w:name w:val="light4"/>
    <w:basedOn w:val="1"/>
    <w:qFormat/>
    <w:uiPriority w:val="0"/>
    <w:pPr>
      <w:keepNext/>
      <w:keepLines/>
      <w:numPr>
        <w:ilvl w:val="3"/>
        <w:numId w:val="3"/>
      </w:numPr>
      <w:tabs>
        <w:tab w:val="left" w:pos="993"/>
        <w:tab w:val="clear" w:pos="3076"/>
      </w:tabs>
      <w:spacing w:before="240" w:after="120"/>
      <w:ind w:left="708"/>
      <w:jc w:val="left"/>
      <w:outlineLvl w:val="3"/>
    </w:pPr>
    <w:rPr>
      <w:rFonts w:ascii="宋体" w:hAnsi="宋体"/>
      <w:b/>
      <w:snapToGrid w:val="0"/>
      <w:kern w:val="0"/>
      <w:sz w:val="24"/>
      <w:szCs w:val="20"/>
    </w:rPr>
  </w:style>
  <w:style w:type="paragraph" w:customStyle="1" w:styleId="266">
    <w:name w:val="xl138"/>
    <w:basedOn w:val="1"/>
    <w:qFormat/>
    <w:uiPriority w:val="0"/>
    <w:pPr>
      <w:widowControl/>
      <w:pBdr>
        <w:top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left"/>
    </w:pPr>
    <w:rPr>
      <w:rFonts w:ascii="宋体" w:hAnsi="宋体" w:cs="宋体"/>
      <w:kern w:val="0"/>
      <w:sz w:val="20"/>
      <w:szCs w:val="20"/>
    </w:rPr>
  </w:style>
  <w:style w:type="paragraph" w:customStyle="1" w:styleId="267">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ind w:firstLine="200" w:firstLineChars="200"/>
      <w:jc w:val="left"/>
    </w:pPr>
    <w:rPr>
      <w:rFonts w:ascii="宋体" w:hAnsi="宋体" w:cs="宋体"/>
      <w:kern w:val="0"/>
      <w:sz w:val="20"/>
      <w:szCs w:val="20"/>
    </w:rPr>
  </w:style>
  <w:style w:type="paragraph" w:customStyle="1" w:styleId="268">
    <w:name w:val="标准文件_章标题"/>
    <w:next w:val="165"/>
    <w:qFormat/>
    <w:uiPriority w:val="0"/>
    <w:pPr>
      <w:numPr>
        <w:ilvl w:val="1"/>
        <w:numId w:val="4"/>
      </w:numPr>
      <w:spacing w:beforeLines="50" w:afterLines="50"/>
      <w:ind w:right="-50" w:rightChars="-50"/>
      <w:jc w:val="both"/>
      <w:outlineLvl w:val="1"/>
    </w:pPr>
    <w:rPr>
      <w:rFonts w:ascii="黑体" w:hAnsi="Times New Roman" w:eastAsia="黑体" w:cs="Times New Roman"/>
      <w:spacing w:val="2"/>
      <w:sz w:val="21"/>
      <w:lang w:val="en-US" w:eastAsia="zh-CN" w:bidi="ar-SA"/>
    </w:rPr>
  </w:style>
  <w:style w:type="paragraph" w:customStyle="1" w:styleId="269">
    <w:name w:val="标题 3 + 宋体"/>
    <w:basedOn w:val="1"/>
    <w:qFormat/>
    <w:uiPriority w:val="0"/>
    <w:pPr>
      <w:numPr>
        <w:ilvl w:val="0"/>
        <w:numId w:val="5"/>
      </w:numPr>
      <w:autoSpaceDE w:val="0"/>
      <w:autoSpaceDN w:val="0"/>
      <w:adjustRightInd w:val="0"/>
      <w:spacing w:line="480" w:lineRule="atLeast"/>
      <w:ind w:firstLine="200" w:firstLineChars="200"/>
      <w:jc w:val="left"/>
    </w:pPr>
    <w:rPr>
      <w:rFonts w:ascii="宋体" w:hAnsi="宋体"/>
      <w:b/>
      <w:kern w:val="0"/>
      <w:sz w:val="24"/>
    </w:rPr>
  </w:style>
  <w:style w:type="paragraph" w:customStyle="1" w:styleId="270">
    <w:name w:val="样式 正文缩进表正文正文非缩进正文对齐标题4Alt+Xmr正文缩进特点Normal Indent正文缩进Wil...2"/>
    <w:basedOn w:val="19"/>
    <w:qFormat/>
    <w:uiPriority w:val="0"/>
    <w:pPr>
      <w:widowControl w:val="0"/>
      <w:spacing w:beforeLines="30"/>
      <w:ind w:firstLine="510" w:firstLineChars="200"/>
    </w:pPr>
    <w:rPr>
      <w:rFonts w:cs="宋体"/>
      <w:kern w:val="2"/>
      <w:sz w:val="24"/>
    </w:rPr>
  </w:style>
  <w:style w:type="paragraph" w:customStyle="1" w:styleId="271">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left"/>
    </w:pPr>
    <w:rPr>
      <w:rFonts w:ascii="宋体" w:hAnsi="宋体" w:cs="宋体"/>
      <w:kern w:val="0"/>
      <w:sz w:val="20"/>
      <w:szCs w:val="20"/>
    </w:rPr>
  </w:style>
  <w:style w:type="paragraph" w:customStyle="1" w:styleId="272">
    <w:name w:val="xl142"/>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273">
    <w:name w:val="Char1 Char Char Char 字元 Char Char 字元 Char 字元 Char1 Char Char Char"/>
    <w:basedOn w:val="1"/>
    <w:qFormat/>
    <w:uiPriority w:val="0"/>
    <w:rPr>
      <w:szCs w:val="20"/>
    </w:rPr>
  </w:style>
  <w:style w:type="paragraph" w:customStyle="1" w:styleId="274">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27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276">
    <w:name w:val="缺省文本"/>
    <w:basedOn w:val="1"/>
    <w:qFormat/>
    <w:uiPriority w:val="0"/>
    <w:pPr>
      <w:autoSpaceDE w:val="0"/>
      <w:autoSpaceDN w:val="0"/>
      <w:adjustRightInd w:val="0"/>
      <w:spacing w:beforeLines="50" w:afterLines="50" w:line="300" w:lineRule="auto"/>
      <w:jc w:val="left"/>
    </w:pPr>
    <w:rPr>
      <w:rFonts w:ascii="宋体" w:hAnsi="宋体"/>
      <w:kern w:val="0"/>
      <w:sz w:val="24"/>
    </w:rPr>
  </w:style>
  <w:style w:type="paragraph" w:customStyle="1" w:styleId="277">
    <w:name w:val="Style24"/>
    <w:basedOn w:val="1"/>
    <w:unhideWhenUsed/>
    <w:qFormat/>
    <w:uiPriority w:val="0"/>
  </w:style>
  <w:style w:type="paragraph" w:customStyle="1" w:styleId="278">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宋体" w:hAnsi="宋体" w:cs="宋体"/>
      <w:b/>
      <w:bCs/>
      <w:kern w:val="0"/>
      <w:sz w:val="20"/>
      <w:szCs w:val="20"/>
    </w:rPr>
  </w:style>
  <w:style w:type="paragraph" w:customStyle="1" w:styleId="279">
    <w:name w:val="Char Char1 Char Char Char Char Char1 Char Char Char Char"/>
    <w:basedOn w:val="21"/>
    <w:qFormat/>
    <w:uiPriority w:val="0"/>
    <w:rPr>
      <w:rFonts w:ascii="Tahoma" w:hAnsi="Tahoma"/>
    </w:rPr>
  </w:style>
  <w:style w:type="paragraph" w:customStyle="1" w:styleId="280">
    <w:name w:val="Style28"/>
    <w:basedOn w:val="1"/>
    <w:unhideWhenUsed/>
    <w:qFormat/>
    <w:uiPriority w:val="0"/>
    <w:pPr>
      <w:spacing w:line="552" w:lineRule="exact"/>
      <w:ind w:firstLine="547"/>
    </w:pPr>
  </w:style>
  <w:style w:type="paragraph" w:customStyle="1" w:styleId="281">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8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left"/>
    </w:pPr>
    <w:rPr>
      <w:rFonts w:ascii="宋体" w:hAnsi="宋体" w:cs="宋体"/>
      <w:kern w:val="0"/>
      <w:sz w:val="20"/>
      <w:szCs w:val="20"/>
    </w:rPr>
  </w:style>
  <w:style w:type="paragraph" w:customStyle="1" w:styleId="28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ind w:firstLine="200" w:firstLineChars="200"/>
      <w:jc w:val="left"/>
    </w:pPr>
    <w:rPr>
      <w:rFonts w:ascii="宋体" w:hAnsi="宋体" w:cs="宋体"/>
      <w:kern w:val="0"/>
      <w:sz w:val="20"/>
      <w:szCs w:val="20"/>
    </w:rPr>
  </w:style>
  <w:style w:type="paragraph" w:customStyle="1" w:styleId="284">
    <w:name w:val="Hanging 2"/>
    <w:basedOn w:val="1"/>
    <w:qFormat/>
    <w:uiPriority w:val="0"/>
    <w:pPr>
      <w:widowControl/>
      <w:tabs>
        <w:tab w:val="left" w:pos="4320"/>
      </w:tabs>
      <w:spacing w:after="240" w:line="240" w:lineRule="exact"/>
      <w:ind w:left="4320" w:hanging="3312" w:firstLineChars="200"/>
      <w:jc w:val="left"/>
    </w:pPr>
    <w:rPr>
      <w:rFonts w:ascii="Arial" w:hAnsi="Arial"/>
      <w:kern w:val="0"/>
      <w:sz w:val="20"/>
      <w:szCs w:val="20"/>
      <w:lang w:eastAsia="en-US"/>
    </w:rPr>
  </w:style>
  <w:style w:type="paragraph" w:customStyle="1" w:styleId="285">
    <w:name w:val="xl135"/>
    <w:basedOn w:val="1"/>
    <w:qFormat/>
    <w:uiPriority w:val="0"/>
    <w:pPr>
      <w:widowControl/>
      <w:pBdr>
        <w:top w:val="single" w:color="auto" w:sz="4" w:space="0"/>
        <w:left w:val="single" w:color="auto" w:sz="4" w:space="0"/>
        <w:bottom w:val="single" w:color="auto" w:sz="4" w:space="0"/>
      </w:pBdr>
      <w:shd w:val="clear" w:color="auto" w:fill="00FF00"/>
      <w:spacing w:before="100" w:beforeAutospacing="1" w:after="100" w:afterAutospacing="1"/>
      <w:ind w:firstLine="200" w:firstLineChars="200"/>
      <w:jc w:val="left"/>
    </w:pPr>
    <w:rPr>
      <w:rFonts w:ascii="宋体" w:hAnsi="宋体" w:cs="宋体"/>
      <w:kern w:val="0"/>
      <w:sz w:val="20"/>
      <w:szCs w:val="20"/>
    </w:rPr>
  </w:style>
  <w:style w:type="paragraph" w:customStyle="1" w:styleId="286">
    <w:name w:val="Style34"/>
    <w:basedOn w:val="1"/>
    <w:unhideWhenUsed/>
    <w:qFormat/>
    <w:uiPriority w:val="0"/>
    <w:pPr>
      <w:spacing w:line="375" w:lineRule="exact"/>
    </w:pPr>
  </w:style>
  <w:style w:type="paragraph" w:customStyle="1" w:styleId="28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288">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89">
    <w:name w:val="xl150"/>
    <w:basedOn w:val="1"/>
    <w:qFormat/>
    <w:uiPriority w:val="0"/>
    <w:pPr>
      <w:widowControl/>
      <w:pBdr>
        <w:left w:val="single" w:color="auto" w:sz="4" w:space="0"/>
      </w:pBdr>
      <w:shd w:val="clear" w:color="auto" w:fill="CCFFFF"/>
      <w:spacing w:before="100" w:beforeAutospacing="1" w:after="100" w:afterAutospacing="1"/>
      <w:ind w:firstLine="200" w:firstLineChars="200"/>
      <w:jc w:val="center"/>
    </w:pPr>
    <w:rPr>
      <w:rFonts w:ascii="宋体" w:hAnsi="宋体" w:cs="宋体"/>
      <w:kern w:val="0"/>
      <w:sz w:val="20"/>
      <w:szCs w:val="20"/>
    </w:rPr>
  </w:style>
  <w:style w:type="paragraph" w:customStyle="1" w:styleId="290">
    <w:name w:val="标准文件_封面标准名称"/>
    <w:basedOn w:val="1"/>
    <w:qFormat/>
    <w:uiPriority w:val="0"/>
    <w:pPr>
      <w:adjustRightInd w:val="0"/>
      <w:spacing w:beforeLines="100" w:line="500" w:lineRule="exact"/>
      <w:ind w:firstLine="200" w:firstLineChars="200"/>
      <w:jc w:val="center"/>
    </w:pPr>
    <w:rPr>
      <w:rFonts w:ascii="黑体" w:eastAsia="黑体"/>
      <w:kern w:val="0"/>
      <w:sz w:val="52"/>
      <w:szCs w:val="20"/>
    </w:rPr>
  </w:style>
  <w:style w:type="paragraph" w:customStyle="1" w:styleId="291">
    <w:name w:val="xl148"/>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left"/>
    </w:pPr>
    <w:rPr>
      <w:rFonts w:ascii="宋体" w:hAnsi="宋体" w:cs="宋体"/>
      <w:color w:val="FF0000"/>
      <w:kern w:val="0"/>
      <w:sz w:val="20"/>
      <w:szCs w:val="20"/>
    </w:rPr>
  </w:style>
  <w:style w:type="paragraph" w:customStyle="1" w:styleId="292">
    <w:name w:val="正文首行缩进1"/>
    <w:basedOn w:val="25"/>
    <w:qFormat/>
    <w:uiPriority w:val="0"/>
    <w:pPr>
      <w:spacing w:beforeLines="30" w:after="0" w:line="324" w:lineRule="auto"/>
      <w:ind w:left="0" w:leftChars="0" w:firstLine="200" w:firstLineChars="200"/>
      <w:jc w:val="left"/>
    </w:pPr>
    <w:rPr>
      <w:sz w:val="24"/>
    </w:rPr>
  </w:style>
  <w:style w:type="paragraph" w:customStyle="1" w:styleId="293">
    <w:name w:val="章标题"/>
    <w:next w:val="1"/>
    <w:qFormat/>
    <w:uiPriority w:val="0"/>
    <w:pPr>
      <w:numPr>
        <w:ilvl w:val="0"/>
        <w:numId w:val="6"/>
      </w:numPr>
      <w:spacing w:beforeLines="100" w:afterLines="100"/>
      <w:jc w:val="both"/>
      <w:outlineLvl w:val="1"/>
    </w:pPr>
    <w:rPr>
      <w:rFonts w:ascii="黑体" w:hAnsi="Times New Roman" w:eastAsia="黑体" w:cs="Times New Roman"/>
      <w:sz w:val="21"/>
      <w:lang w:val="en-US" w:eastAsia="zh-CN" w:bidi="ar-SA"/>
    </w:rPr>
  </w:style>
  <w:style w:type="paragraph" w:customStyle="1" w:styleId="294">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b/>
      <w:bCs/>
      <w:kern w:val="0"/>
      <w:sz w:val="20"/>
      <w:szCs w:val="20"/>
    </w:rPr>
  </w:style>
  <w:style w:type="paragraph" w:customStyle="1" w:styleId="296">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297">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29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9">
    <w:name w:val="Style71"/>
    <w:basedOn w:val="1"/>
    <w:unhideWhenUsed/>
    <w:qFormat/>
    <w:uiPriority w:val="0"/>
    <w:pPr>
      <w:spacing w:line="538" w:lineRule="exact"/>
      <w:ind w:firstLine="101"/>
    </w:pPr>
  </w:style>
  <w:style w:type="paragraph" w:customStyle="1" w:styleId="300">
    <w:name w:val="标题3"/>
    <w:basedOn w:val="3"/>
    <w:qFormat/>
    <w:uiPriority w:val="0"/>
    <w:pPr>
      <w:spacing w:beforeLines="50" w:afterLines="50" w:line="400" w:lineRule="exact"/>
      <w:jc w:val="both"/>
    </w:pPr>
    <w:rPr>
      <w:rFonts w:ascii="宋体" w:hAnsi="宋体"/>
      <w:kern w:val="32"/>
      <w:szCs w:val="32"/>
    </w:rPr>
  </w:style>
  <w:style w:type="paragraph" w:customStyle="1" w:styleId="301">
    <w:name w:val="修订1"/>
    <w:qFormat/>
    <w:uiPriority w:val="99"/>
    <w:rPr>
      <w:rFonts w:ascii="Times New Roman" w:hAnsi="Times New Roman" w:eastAsia="宋体" w:cs="Times New Roman"/>
      <w:kern w:val="2"/>
      <w:sz w:val="21"/>
      <w:szCs w:val="24"/>
      <w:lang w:val="en-US" w:eastAsia="zh-CN" w:bidi="ar-SA"/>
    </w:rPr>
  </w:style>
  <w:style w:type="paragraph" w:customStyle="1" w:styleId="302">
    <w:name w:val="Char3"/>
    <w:basedOn w:val="1"/>
    <w:qFormat/>
    <w:uiPriority w:val="0"/>
    <w:pPr>
      <w:widowControl/>
      <w:spacing w:after="160" w:line="240" w:lineRule="exact"/>
      <w:ind w:firstLine="200" w:firstLineChars="200"/>
      <w:jc w:val="left"/>
    </w:pPr>
    <w:rPr>
      <w:rFonts w:ascii="Verdana" w:hAnsi="Verdana" w:eastAsia="黑体"/>
      <w:kern w:val="0"/>
      <w:sz w:val="28"/>
      <w:szCs w:val="20"/>
      <w:lang w:eastAsia="en-US"/>
    </w:rPr>
  </w:style>
  <w:style w:type="paragraph" w:customStyle="1" w:styleId="303">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04">
    <w:name w:val="Style70"/>
    <w:basedOn w:val="1"/>
    <w:unhideWhenUsed/>
    <w:qFormat/>
    <w:uiPriority w:val="0"/>
    <w:pPr>
      <w:spacing w:line="549" w:lineRule="exact"/>
      <w:ind w:firstLine="686"/>
    </w:pPr>
  </w:style>
  <w:style w:type="paragraph" w:customStyle="1" w:styleId="305">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color w:val="FF0000"/>
      <w:kern w:val="0"/>
      <w:sz w:val="20"/>
      <w:szCs w:val="20"/>
    </w:rPr>
  </w:style>
  <w:style w:type="paragraph" w:customStyle="1" w:styleId="307">
    <w:name w:val="Style12"/>
    <w:basedOn w:val="1"/>
    <w:unhideWhenUsed/>
    <w:qFormat/>
    <w:uiPriority w:val="0"/>
    <w:pPr>
      <w:spacing w:line="564" w:lineRule="exact"/>
      <w:ind w:hanging="115"/>
    </w:pPr>
  </w:style>
  <w:style w:type="paragraph" w:customStyle="1" w:styleId="308">
    <w:name w:val="并列项-点"/>
    <w:basedOn w:val="1"/>
    <w:qFormat/>
    <w:uiPriority w:val="0"/>
    <w:pPr>
      <w:numPr>
        <w:ilvl w:val="0"/>
        <w:numId w:val="7"/>
      </w:numPr>
      <w:adjustRightInd w:val="0"/>
      <w:snapToGrid w:val="0"/>
      <w:spacing w:line="460" w:lineRule="atLeast"/>
      <w:jc w:val="left"/>
    </w:pPr>
    <w:rPr>
      <w:sz w:val="28"/>
      <w:szCs w:val="28"/>
    </w:rPr>
  </w:style>
  <w:style w:type="paragraph" w:customStyle="1" w:styleId="309">
    <w:name w:val="默认段落字体 Para Char Char Char Char Char Char Char Char Char Char Char Char Char"/>
    <w:basedOn w:val="21"/>
    <w:qFormat/>
    <w:uiPriority w:val="0"/>
    <w:pPr>
      <w:spacing w:beforeLines="50" w:afterLines="50"/>
      <w:ind w:firstLine="200" w:firstLineChars="200"/>
      <w:jc w:val="left"/>
    </w:pPr>
    <w:rPr>
      <w:b/>
      <w:sz w:val="24"/>
    </w:rPr>
  </w:style>
  <w:style w:type="paragraph" w:customStyle="1" w:styleId="31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311">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ind w:firstLine="200" w:firstLineChars="200"/>
      <w:jc w:val="center"/>
    </w:pPr>
    <w:rPr>
      <w:rFonts w:ascii="宋体" w:hAnsi="宋体" w:cs="宋体"/>
      <w:kern w:val="0"/>
      <w:sz w:val="20"/>
      <w:szCs w:val="20"/>
    </w:rPr>
  </w:style>
  <w:style w:type="paragraph" w:customStyle="1" w:styleId="312">
    <w:name w:val="五级条标题"/>
    <w:basedOn w:val="313"/>
    <w:next w:val="1"/>
    <w:qFormat/>
    <w:uiPriority w:val="0"/>
    <w:pPr>
      <w:numPr>
        <w:ilvl w:val="5"/>
      </w:numPr>
      <w:outlineLvl w:val="6"/>
    </w:pPr>
  </w:style>
  <w:style w:type="paragraph" w:customStyle="1" w:styleId="313">
    <w:name w:val="四级条标题"/>
    <w:basedOn w:val="314"/>
    <w:next w:val="1"/>
    <w:qFormat/>
    <w:uiPriority w:val="0"/>
    <w:pPr>
      <w:numPr>
        <w:ilvl w:val="4"/>
      </w:numPr>
      <w:outlineLvl w:val="5"/>
    </w:pPr>
  </w:style>
  <w:style w:type="paragraph" w:customStyle="1" w:styleId="314">
    <w:name w:val="三级条标题"/>
    <w:basedOn w:val="315"/>
    <w:next w:val="1"/>
    <w:qFormat/>
    <w:uiPriority w:val="0"/>
    <w:pPr>
      <w:numPr>
        <w:ilvl w:val="3"/>
      </w:numPr>
      <w:outlineLvl w:val="4"/>
    </w:pPr>
  </w:style>
  <w:style w:type="paragraph" w:customStyle="1" w:styleId="315">
    <w:name w:val="二级条标题"/>
    <w:basedOn w:val="316"/>
    <w:next w:val="1"/>
    <w:qFormat/>
    <w:uiPriority w:val="0"/>
    <w:pPr>
      <w:numPr>
        <w:ilvl w:val="2"/>
      </w:numPr>
      <w:spacing w:before="50" w:after="50"/>
      <w:outlineLvl w:val="3"/>
    </w:pPr>
  </w:style>
  <w:style w:type="paragraph" w:customStyle="1" w:styleId="316">
    <w:name w:val="一级条标题"/>
    <w:next w:val="1"/>
    <w:qFormat/>
    <w:uiPriority w:val="0"/>
    <w:pPr>
      <w:numPr>
        <w:ilvl w:val="1"/>
        <w:numId w:val="6"/>
      </w:numPr>
      <w:spacing w:beforeLines="50" w:afterLines="50"/>
      <w:outlineLvl w:val="2"/>
    </w:pPr>
    <w:rPr>
      <w:rFonts w:ascii="黑体" w:hAnsi="Times New Roman" w:eastAsia="黑体" w:cs="Times New Roman"/>
      <w:sz w:val="21"/>
      <w:szCs w:val="21"/>
      <w:lang w:val="en-US" w:eastAsia="zh-CN" w:bidi="ar-SA"/>
    </w:rPr>
  </w:style>
  <w:style w:type="paragraph" w:customStyle="1" w:styleId="317">
    <w:name w:val="Style67"/>
    <w:basedOn w:val="1"/>
    <w:unhideWhenUsed/>
    <w:qFormat/>
    <w:uiPriority w:val="0"/>
    <w:pPr>
      <w:spacing w:line="566" w:lineRule="exact"/>
      <w:ind w:firstLine="552"/>
    </w:pPr>
  </w:style>
  <w:style w:type="paragraph" w:customStyle="1" w:styleId="318">
    <w:name w:val="font11"/>
    <w:basedOn w:val="1"/>
    <w:qFormat/>
    <w:uiPriority w:val="0"/>
    <w:pPr>
      <w:widowControl/>
      <w:spacing w:before="100" w:beforeAutospacing="1" w:after="100" w:afterAutospacing="1"/>
      <w:ind w:firstLine="200" w:firstLineChars="200"/>
      <w:jc w:val="left"/>
    </w:pPr>
    <w:rPr>
      <w:kern w:val="0"/>
      <w:sz w:val="18"/>
      <w:szCs w:val="18"/>
    </w:rPr>
  </w:style>
  <w:style w:type="paragraph" w:customStyle="1" w:styleId="319">
    <w:name w:val="MM Notes"/>
    <w:basedOn w:val="171"/>
    <w:qFormat/>
    <w:uiPriority w:val="0"/>
    <w:rPr>
      <w:szCs w:val="20"/>
    </w:rPr>
  </w:style>
  <w:style w:type="paragraph" w:customStyle="1" w:styleId="320">
    <w:name w:val="表格内容"/>
    <w:basedOn w:val="24"/>
    <w:qFormat/>
    <w:uiPriority w:val="0"/>
    <w:pPr>
      <w:suppressLineNumbers/>
      <w:suppressAutoHyphens/>
      <w:jc w:val="left"/>
    </w:pPr>
    <w:rPr>
      <w:rFonts w:cs="Tahoma"/>
      <w:kern w:val="0"/>
      <w:sz w:val="24"/>
    </w:rPr>
  </w:style>
  <w:style w:type="paragraph" w:customStyle="1" w:styleId="321">
    <w:name w:val="Hanging 1"/>
    <w:basedOn w:val="284"/>
    <w:qFormat/>
    <w:uiPriority w:val="0"/>
    <w:pPr>
      <w:tabs>
        <w:tab w:val="left" w:pos="3402"/>
        <w:tab w:val="clear" w:pos="4320"/>
      </w:tabs>
      <w:spacing w:line="300" w:lineRule="auto"/>
      <w:ind w:left="3403" w:hanging="2552"/>
    </w:pPr>
    <w:rPr>
      <w:sz w:val="21"/>
    </w:rPr>
  </w:style>
  <w:style w:type="paragraph" w:customStyle="1" w:styleId="322">
    <w:name w:val="xl151"/>
    <w:basedOn w:val="1"/>
    <w:qFormat/>
    <w:uiPriority w:val="0"/>
    <w:pPr>
      <w:widowControl/>
      <w:pBdr>
        <w:left w:val="single" w:color="auto" w:sz="4" w:space="0"/>
        <w:bottom w:val="single" w:color="auto" w:sz="4" w:space="0"/>
      </w:pBdr>
      <w:shd w:val="clear" w:color="auto" w:fill="CCFFFF"/>
      <w:spacing w:before="100" w:beforeAutospacing="1" w:after="100" w:afterAutospacing="1"/>
      <w:ind w:firstLine="200" w:firstLineChars="200"/>
      <w:jc w:val="center"/>
    </w:pPr>
    <w:rPr>
      <w:rFonts w:ascii="宋体" w:hAnsi="宋体" w:cs="宋体"/>
      <w:kern w:val="0"/>
      <w:sz w:val="20"/>
      <w:szCs w:val="20"/>
    </w:rPr>
  </w:style>
  <w:style w:type="paragraph" w:customStyle="1" w:styleId="323">
    <w:name w:val="样式 正文缩进表正文正文非缩进正文对齐标题4Alt+Xmr正文缩进特点Normal Indent正文缩进Wil...1"/>
    <w:basedOn w:val="19"/>
    <w:qFormat/>
    <w:uiPriority w:val="0"/>
    <w:pPr>
      <w:widowControl w:val="0"/>
      <w:spacing w:beforeLines="30"/>
      <w:ind w:firstLine="510" w:firstLineChars="200"/>
    </w:pPr>
    <w:rPr>
      <w:rFonts w:cs="宋体"/>
      <w:kern w:val="2"/>
      <w:sz w:val="24"/>
    </w:rPr>
  </w:style>
  <w:style w:type="paragraph" w:customStyle="1" w:styleId="32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325">
    <w:name w:val="Style65"/>
    <w:basedOn w:val="1"/>
    <w:unhideWhenUsed/>
    <w:qFormat/>
    <w:uiPriority w:val="0"/>
  </w:style>
  <w:style w:type="paragraph" w:customStyle="1" w:styleId="326">
    <w:name w:val="xl173"/>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宋体" w:hAnsi="宋体" w:cs="宋体"/>
      <w:b/>
      <w:bCs/>
      <w:kern w:val="0"/>
      <w:sz w:val="20"/>
      <w:szCs w:val="20"/>
    </w:rPr>
  </w:style>
  <w:style w:type="paragraph" w:customStyle="1" w:styleId="327">
    <w:name w:val="Style54"/>
    <w:basedOn w:val="1"/>
    <w:unhideWhenUsed/>
    <w:qFormat/>
    <w:uiPriority w:val="0"/>
  </w:style>
  <w:style w:type="paragraph" w:customStyle="1" w:styleId="328">
    <w:name w:val="样式 标题 33h33rd levelH3Underrubrik21.1.1 Heading 3sect1.2.3..."/>
    <w:basedOn w:val="5"/>
    <w:next w:val="1"/>
    <w:qFormat/>
    <w:uiPriority w:val="0"/>
    <w:pPr>
      <w:spacing w:line="415" w:lineRule="auto"/>
    </w:pPr>
    <w:rPr>
      <w:kern w:val="44"/>
      <w:szCs w:val="20"/>
    </w:rPr>
  </w:style>
  <w:style w:type="paragraph" w:customStyle="1" w:styleId="329">
    <w:name w:val="xl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3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b/>
      <w:bCs/>
      <w:kern w:val="0"/>
      <w:sz w:val="20"/>
      <w:szCs w:val="20"/>
    </w:rPr>
  </w:style>
  <w:style w:type="paragraph" w:customStyle="1" w:styleId="332">
    <w:name w:val="default"/>
    <w:basedOn w:val="1"/>
    <w:qFormat/>
    <w:uiPriority w:val="0"/>
    <w:pPr>
      <w:widowControl/>
      <w:ind w:firstLine="200" w:firstLineChars="200"/>
      <w:jc w:val="left"/>
    </w:pPr>
    <w:rPr>
      <w:rFonts w:ascii="宋体" w:hAnsi="宋体" w:cs="宋体"/>
      <w:kern w:val="0"/>
      <w:sz w:val="24"/>
    </w:rPr>
  </w:style>
  <w:style w:type="paragraph" w:customStyle="1" w:styleId="333">
    <w:name w:val="T5"/>
    <w:basedOn w:val="334"/>
    <w:qFormat/>
    <w:uiPriority w:val="0"/>
    <w:pPr>
      <w:tabs>
        <w:tab w:val="left" w:pos="992"/>
        <w:tab w:val="left" w:pos="1276"/>
        <w:tab w:val="left" w:pos="1418"/>
        <w:tab w:val="left" w:pos="1559"/>
        <w:tab w:val="left" w:pos="1701"/>
        <w:tab w:val="left" w:pos="1843"/>
        <w:tab w:val="left" w:pos="1995"/>
        <w:tab w:val="left" w:pos="2126"/>
        <w:tab w:val="left" w:pos="2268"/>
        <w:tab w:val="left" w:pos="2415"/>
        <w:tab w:val="left" w:pos="2552"/>
        <w:tab w:val="left" w:pos="2693"/>
        <w:tab w:val="left" w:pos="2835"/>
        <w:tab w:val="left" w:pos="2977"/>
        <w:tab w:val="left" w:pos="3119"/>
        <w:tab w:val="left" w:pos="3255"/>
        <w:tab w:val="left" w:pos="3402"/>
        <w:tab w:val="left" w:pos="3544"/>
        <w:tab w:val="left" w:pos="3675"/>
      </w:tabs>
      <w:spacing w:before="60" w:after="60"/>
      <w:ind w:left="1134"/>
    </w:pPr>
  </w:style>
  <w:style w:type="paragraph" w:customStyle="1" w:styleId="334">
    <w:name w:val="T4"/>
    <w:basedOn w:val="335"/>
    <w:qFormat/>
    <w:uiPriority w:val="0"/>
    <w:pPr>
      <w:tabs>
        <w:tab w:val="left" w:pos="992"/>
        <w:tab w:val="left" w:pos="1276"/>
        <w:tab w:val="left" w:pos="1418"/>
        <w:tab w:val="left" w:pos="1701"/>
        <w:tab w:val="left" w:pos="1843"/>
        <w:tab w:val="left" w:pos="2126"/>
        <w:tab w:val="left" w:pos="2268"/>
        <w:tab w:val="left" w:pos="2552"/>
        <w:tab w:val="left" w:pos="2693"/>
        <w:tab w:val="left" w:pos="2977"/>
        <w:tab w:val="left" w:pos="3119"/>
        <w:tab w:val="left" w:pos="3402"/>
        <w:tab w:val="left" w:pos="3544"/>
      </w:tabs>
      <w:ind w:left="851"/>
    </w:pPr>
  </w:style>
  <w:style w:type="paragraph" w:customStyle="1" w:styleId="335">
    <w:name w:val="T3"/>
    <w:basedOn w:val="1"/>
    <w:qFormat/>
    <w:uiPriority w:val="0"/>
    <w:pPr>
      <w:keepLines/>
      <w:widowControl/>
      <w:tabs>
        <w:tab w:val="left" w:pos="992"/>
        <w:tab w:val="left" w:pos="1418"/>
        <w:tab w:val="left" w:pos="1843"/>
        <w:tab w:val="left" w:pos="2268"/>
        <w:tab w:val="left" w:pos="2693"/>
        <w:tab w:val="left" w:pos="3119"/>
        <w:tab w:val="left" w:pos="3544"/>
      </w:tabs>
      <w:spacing w:after="120" w:line="300" w:lineRule="auto"/>
      <w:ind w:left="567" w:firstLine="200" w:firstLineChars="200"/>
      <w:jc w:val="left"/>
    </w:pPr>
    <w:rPr>
      <w:rFonts w:ascii="Arial" w:hAnsi="Arial"/>
      <w:kern w:val="0"/>
      <w:sz w:val="22"/>
      <w:szCs w:val="20"/>
      <w:lang w:eastAsia="en-US"/>
    </w:rPr>
  </w:style>
  <w:style w:type="paragraph" w:customStyle="1" w:styleId="336">
    <w:name w:val="font9"/>
    <w:basedOn w:val="1"/>
    <w:qFormat/>
    <w:uiPriority w:val="0"/>
    <w:pPr>
      <w:widowControl/>
      <w:spacing w:before="100" w:beforeAutospacing="1" w:after="100" w:afterAutospacing="1"/>
      <w:ind w:firstLine="200" w:firstLineChars="200"/>
      <w:jc w:val="left"/>
    </w:pPr>
    <w:rPr>
      <w:rFonts w:ascii="宋体" w:hAnsi="宋体" w:cs="宋体"/>
      <w:color w:val="000000"/>
      <w:kern w:val="0"/>
      <w:sz w:val="18"/>
      <w:szCs w:val="18"/>
    </w:rPr>
  </w:style>
  <w:style w:type="paragraph" w:customStyle="1" w:styleId="337">
    <w:name w:val="无间距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339">
    <w:name w:val="样式 正文缩进表正文正文非缩进正文对齐标题4Alt+Xmr正文缩进特点Normal Indent正文缩进Wil..."/>
    <w:basedOn w:val="19"/>
    <w:qFormat/>
    <w:uiPriority w:val="0"/>
    <w:pPr>
      <w:widowControl w:val="0"/>
      <w:spacing w:beforeLines="30"/>
      <w:ind w:firstLine="510" w:firstLineChars="200"/>
    </w:pPr>
    <w:rPr>
      <w:rFonts w:cs="宋体"/>
      <w:kern w:val="2"/>
      <w:sz w:val="24"/>
    </w:rPr>
  </w:style>
  <w:style w:type="paragraph" w:customStyle="1" w:styleId="340">
    <w:name w:val="Style63"/>
    <w:basedOn w:val="1"/>
    <w:unhideWhenUsed/>
    <w:qFormat/>
    <w:uiPriority w:val="0"/>
    <w:pPr>
      <w:spacing w:line="564" w:lineRule="exact"/>
      <w:ind w:firstLine="682"/>
    </w:pPr>
  </w:style>
  <w:style w:type="paragraph" w:customStyle="1" w:styleId="34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bottom"/>
    </w:pPr>
    <w:rPr>
      <w:rFonts w:ascii="黑体" w:hAnsi="宋体" w:eastAsia="黑体" w:cs="宋体"/>
      <w:b/>
      <w:bCs/>
      <w:kern w:val="0"/>
      <w:sz w:val="20"/>
      <w:szCs w:val="20"/>
    </w:rPr>
  </w:style>
  <w:style w:type="paragraph" w:customStyle="1" w:styleId="342">
    <w:name w:val="Style58"/>
    <w:basedOn w:val="1"/>
    <w:unhideWhenUsed/>
    <w:qFormat/>
    <w:uiPriority w:val="0"/>
    <w:pPr>
      <w:spacing w:line="413" w:lineRule="exact"/>
    </w:pPr>
  </w:style>
  <w:style w:type="paragraph" w:customStyle="1" w:styleId="343">
    <w:name w:val="样式 标题 2 + Times New Roman 四号 非加粗 段前: 5 磅 段后: 0 磅 行距: 固定值 20..."/>
    <w:basedOn w:val="4"/>
    <w:qFormat/>
    <w:uiPriority w:val="0"/>
    <w:pPr>
      <w:spacing w:before="100" w:line="400" w:lineRule="exact"/>
    </w:pPr>
    <w:rPr>
      <w:rFonts w:eastAsia="黑体"/>
      <w:b w:val="0"/>
      <w:bCs w:val="0"/>
      <w:szCs w:val="20"/>
    </w:rPr>
  </w:style>
  <w:style w:type="paragraph" w:customStyle="1" w:styleId="344">
    <w:name w:val="Char"/>
    <w:basedOn w:val="1"/>
    <w:qFormat/>
    <w:uiPriority w:val="0"/>
    <w:pPr>
      <w:tabs>
        <w:tab w:val="left" w:pos="360"/>
      </w:tabs>
      <w:ind w:left="360" w:hanging="360" w:hangingChars="200"/>
    </w:pPr>
    <w:rPr>
      <w:sz w:val="24"/>
    </w:rPr>
  </w:style>
  <w:style w:type="paragraph" w:customStyle="1" w:styleId="345">
    <w:name w:val="Style68"/>
    <w:basedOn w:val="1"/>
    <w:unhideWhenUsed/>
    <w:qFormat/>
    <w:uiPriority w:val="0"/>
    <w:pPr>
      <w:spacing w:line="547" w:lineRule="exact"/>
    </w:pPr>
  </w:style>
  <w:style w:type="paragraph" w:customStyle="1" w:styleId="346">
    <w:name w:val="xl144"/>
    <w:basedOn w:val="1"/>
    <w:qFormat/>
    <w:uiPriority w:val="0"/>
    <w:pPr>
      <w:widowControl/>
      <w:pBdr>
        <w:top w:val="single" w:color="auto" w:sz="4" w:space="0"/>
        <w:left w:val="single" w:color="auto" w:sz="4" w:space="0"/>
        <w:bottom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347">
    <w:name w:val="设计正文 Char Char Char"/>
    <w:basedOn w:val="1"/>
    <w:qFormat/>
    <w:uiPriority w:val="0"/>
    <w:pPr>
      <w:spacing w:line="300" w:lineRule="auto"/>
      <w:ind w:firstLine="480" w:firstLineChars="200"/>
      <w:jc w:val="left"/>
    </w:pPr>
    <w:rPr>
      <w:rFonts w:ascii="仿宋_GB2312" w:eastAsia="仿宋_GB2312" w:cs="宋体"/>
      <w:sz w:val="28"/>
      <w:szCs w:val="20"/>
    </w:rPr>
  </w:style>
  <w:style w:type="paragraph" w:customStyle="1" w:styleId="348">
    <w:name w:val="Char1 Char Char Char"/>
    <w:basedOn w:val="1"/>
    <w:qFormat/>
    <w:uiPriority w:val="0"/>
    <w:pPr>
      <w:widowControl/>
      <w:spacing w:after="160" w:line="240" w:lineRule="exact"/>
      <w:jc w:val="left"/>
    </w:pPr>
    <w:rPr>
      <w:kern w:val="0"/>
      <w:sz w:val="24"/>
      <w:szCs w:val="20"/>
    </w:rPr>
  </w:style>
  <w:style w:type="paragraph" w:customStyle="1" w:styleId="349">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left"/>
    </w:pPr>
    <w:rPr>
      <w:kern w:val="0"/>
      <w:sz w:val="20"/>
      <w:szCs w:val="20"/>
    </w:rPr>
  </w:style>
  <w:style w:type="paragraph" w:customStyle="1" w:styleId="350">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b/>
      <w:bCs/>
      <w:kern w:val="0"/>
      <w:sz w:val="20"/>
      <w:szCs w:val="20"/>
    </w:rPr>
  </w:style>
  <w:style w:type="paragraph" w:customStyle="1" w:styleId="35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35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ind w:firstLine="200" w:firstLineChars="200"/>
      <w:jc w:val="center"/>
    </w:pPr>
    <w:rPr>
      <w:rFonts w:ascii="宋体" w:hAnsi="宋体" w:cs="宋体"/>
      <w:kern w:val="0"/>
      <w:sz w:val="20"/>
      <w:szCs w:val="20"/>
    </w:rPr>
  </w:style>
  <w:style w:type="paragraph" w:customStyle="1" w:styleId="354">
    <w:name w:val="Style50"/>
    <w:basedOn w:val="1"/>
    <w:unhideWhenUsed/>
    <w:qFormat/>
    <w:uiPriority w:val="0"/>
  </w:style>
  <w:style w:type="paragraph" w:customStyle="1" w:styleId="35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color w:val="FF0000"/>
      <w:kern w:val="0"/>
      <w:sz w:val="20"/>
      <w:szCs w:val="20"/>
    </w:rPr>
  </w:style>
  <w:style w:type="paragraph" w:customStyle="1" w:styleId="3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357">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358">
    <w:name w:val="标题 1 +"/>
    <w:basedOn w:val="3"/>
    <w:next w:val="1"/>
    <w:qFormat/>
    <w:uiPriority w:val="0"/>
    <w:pPr>
      <w:keepLines/>
      <w:spacing w:line="600" w:lineRule="auto"/>
    </w:pPr>
    <w:rPr>
      <w:rFonts w:eastAsia="黑体"/>
      <w:kern w:val="0"/>
      <w:sz w:val="32"/>
      <w:szCs w:val="32"/>
    </w:rPr>
  </w:style>
  <w:style w:type="paragraph" w:customStyle="1" w:styleId="359">
    <w:name w:val="表格内"/>
    <w:basedOn w:val="1"/>
    <w:qFormat/>
    <w:uiPriority w:val="0"/>
    <w:pPr>
      <w:ind w:firstLine="200" w:firstLineChars="200"/>
      <w:jc w:val="left"/>
    </w:pPr>
    <w:rPr>
      <w:rFonts w:ascii="Arial" w:hAnsi="Arial"/>
      <w:sz w:val="18"/>
      <w:szCs w:val="20"/>
    </w:rPr>
  </w:style>
  <w:style w:type="paragraph" w:customStyle="1" w:styleId="36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ind w:firstLine="200" w:firstLineChars="200"/>
      <w:jc w:val="center"/>
    </w:pPr>
    <w:rPr>
      <w:rFonts w:ascii="宋体" w:hAnsi="宋体" w:cs="宋体"/>
      <w:kern w:val="0"/>
      <w:sz w:val="20"/>
      <w:szCs w:val="20"/>
    </w:rPr>
  </w:style>
  <w:style w:type="paragraph" w:customStyle="1" w:styleId="361">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left"/>
    </w:pPr>
    <w:rPr>
      <w:rFonts w:ascii="宋体" w:hAnsi="宋体" w:cs="宋体"/>
      <w:kern w:val="0"/>
      <w:sz w:val="20"/>
      <w:szCs w:val="20"/>
    </w:rPr>
  </w:style>
  <w:style w:type="paragraph" w:customStyle="1" w:styleId="362">
    <w:name w:val="Style10"/>
    <w:basedOn w:val="1"/>
    <w:unhideWhenUsed/>
    <w:qFormat/>
    <w:uiPriority w:val="0"/>
    <w:pPr>
      <w:spacing w:line="538" w:lineRule="exact"/>
    </w:pPr>
  </w:style>
  <w:style w:type="paragraph" w:customStyle="1" w:styleId="363">
    <w:name w:val="附录标识"/>
    <w:basedOn w:val="288"/>
    <w:qFormat/>
    <w:uiPriority w:val="0"/>
    <w:pPr>
      <w:tabs>
        <w:tab w:val="left" w:pos="6405"/>
        <w:tab w:val="clear" w:pos="360"/>
      </w:tabs>
      <w:spacing w:after="200"/>
    </w:pPr>
    <w:rPr>
      <w:sz w:val="21"/>
    </w:rPr>
  </w:style>
  <w:style w:type="paragraph" w:customStyle="1" w:styleId="364">
    <w:name w:val="表格 Char Char Char2"/>
    <w:basedOn w:val="1"/>
    <w:qFormat/>
    <w:uiPriority w:val="0"/>
    <w:pPr>
      <w:widowControl/>
      <w:spacing w:after="160" w:line="240" w:lineRule="exact"/>
      <w:ind w:firstLine="200" w:firstLineChars="200"/>
      <w:jc w:val="left"/>
    </w:pPr>
    <w:rPr>
      <w:rFonts w:ascii="Verdana" w:hAnsi="Verdana" w:eastAsia="黑体"/>
      <w:kern w:val="0"/>
      <w:sz w:val="28"/>
      <w:szCs w:val="20"/>
      <w:lang w:eastAsia="en-US"/>
    </w:rPr>
  </w:style>
  <w:style w:type="paragraph" w:customStyle="1" w:styleId="365">
    <w:name w:val="Style5"/>
    <w:basedOn w:val="1"/>
    <w:unhideWhenUsed/>
    <w:qFormat/>
    <w:uiPriority w:val="0"/>
  </w:style>
  <w:style w:type="paragraph" w:customStyle="1" w:styleId="366">
    <w:name w:val="xl167"/>
    <w:basedOn w:val="1"/>
    <w:qFormat/>
    <w:uiPriority w:val="0"/>
    <w:pPr>
      <w:widowControl/>
      <w:pBdr>
        <w:left w:val="single" w:color="auto" w:sz="4" w:space="0"/>
        <w:bottom w:val="single" w:color="auto" w:sz="4" w:space="0"/>
      </w:pBdr>
      <w:shd w:val="clear" w:color="auto" w:fill="CCFFFF"/>
      <w:spacing w:before="100" w:beforeAutospacing="1" w:after="100" w:afterAutospacing="1"/>
      <w:ind w:firstLine="200" w:firstLineChars="200"/>
      <w:jc w:val="center"/>
    </w:pPr>
    <w:rPr>
      <w:rFonts w:ascii="宋体" w:hAnsi="宋体" w:cs="宋体"/>
      <w:kern w:val="0"/>
      <w:sz w:val="20"/>
      <w:szCs w:val="20"/>
    </w:rPr>
  </w:style>
  <w:style w:type="paragraph" w:customStyle="1" w:styleId="367">
    <w:name w:val="表格内文字"/>
    <w:basedOn w:val="1"/>
    <w:qFormat/>
    <w:uiPriority w:val="0"/>
    <w:pPr>
      <w:widowControl/>
      <w:spacing w:line="300" w:lineRule="atLeast"/>
      <w:ind w:firstLine="200" w:firstLineChars="200"/>
      <w:jc w:val="left"/>
    </w:pPr>
    <w:rPr>
      <w:rFonts w:ascii="宋体"/>
      <w:kern w:val="0"/>
      <w:szCs w:val="20"/>
    </w:rPr>
  </w:style>
  <w:style w:type="paragraph" w:customStyle="1" w:styleId="368">
    <w:name w:val="Style42"/>
    <w:basedOn w:val="1"/>
    <w:unhideWhenUsed/>
    <w:qFormat/>
    <w:uiPriority w:val="0"/>
    <w:pPr>
      <w:spacing w:line="542" w:lineRule="exact"/>
      <w:ind w:firstLine="547"/>
    </w:pPr>
  </w:style>
  <w:style w:type="paragraph" w:customStyle="1" w:styleId="369">
    <w:name w:val="1 Char Char Char Char"/>
    <w:basedOn w:val="1"/>
    <w:qFormat/>
    <w:uiPriority w:val="0"/>
  </w:style>
  <w:style w:type="paragraph" w:customStyle="1" w:styleId="37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1">
    <w:name w:val="Style27"/>
    <w:basedOn w:val="1"/>
    <w:unhideWhenUsed/>
    <w:qFormat/>
    <w:uiPriority w:val="0"/>
  </w:style>
  <w:style w:type="paragraph" w:customStyle="1" w:styleId="372">
    <w:name w:val="T1"/>
    <w:basedOn w:val="373"/>
    <w:qFormat/>
    <w:uiPriority w:val="0"/>
    <w:pPr>
      <w:tabs>
        <w:tab w:val="left" w:pos="425"/>
        <w:tab w:val="left" w:pos="709"/>
        <w:tab w:val="left" w:pos="851"/>
        <w:tab w:val="left" w:pos="1134"/>
        <w:tab w:val="left" w:pos="1276"/>
        <w:tab w:val="left" w:pos="1559"/>
        <w:tab w:val="left" w:pos="1701"/>
        <w:tab w:val="left" w:pos="1985"/>
        <w:tab w:val="left" w:pos="2126"/>
        <w:tab w:val="left" w:pos="2410"/>
        <w:tab w:val="left" w:pos="2552"/>
        <w:tab w:val="left" w:pos="2835"/>
        <w:tab w:val="left" w:pos="2977"/>
        <w:tab w:val="left" w:pos="3260"/>
        <w:tab w:val="left" w:pos="3686"/>
      </w:tabs>
      <w:ind w:left="0"/>
    </w:pPr>
  </w:style>
  <w:style w:type="paragraph" w:customStyle="1" w:styleId="373">
    <w:name w:val="T2"/>
    <w:basedOn w:val="1"/>
    <w:qFormat/>
    <w:uiPriority w:val="0"/>
    <w:pPr>
      <w:keepLines/>
      <w:widowControl/>
      <w:tabs>
        <w:tab w:val="left" w:pos="709"/>
        <w:tab w:val="left" w:pos="1134"/>
        <w:tab w:val="left" w:pos="1559"/>
        <w:tab w:val="left" w:pos="1985"/>
        <w:tab w:val="left" w:pos="2410"/>
        <w:tab w:val="left" w:pos="2835"/>
        <w:tab w:val="left" w:pos="3260"/>
        <w:tab w:val="left" w:pos="3686"/>
      </w:tabs>
      <w:spacing w:after="120" w:line="300" w:lineRule="auto"/>
      <w:ind w:left="284" w:firstLine="200" w:firstLineChars="200"/>
      <w:jc w:val="left"/>
    </w:pPr>
    <w:rPr>
      <w:rFonts w:ascii="Arial" w:hAnsi="Arial"/>
      <w:kern w:val="0"/>
      <w:sz w:val="22"/>
      <w:szCs w:val="20"/>
      <w:lang w:eastAsia="en-US"/>
    </w:rPr>
  </w:style>
  <w:style w:type="paragraph" w:customStyle="1" w:styleId="374">
    <w:name w:val="Char Char Char Char Char Char"/>
    <w:basedOn w:val="21"/>
    <w:qFormat/>
    <w:uiPriority w:val="0"/>
    <w:pPr>
      <w:ind w:firstLine="200" w:firstLineChars="200"/>
      <w:jc w:val="left"/>
    </w:pPr>
    <w:rPr>
      <w:rFonts w:ascii="Tahoma" w:hAnsi="Tahoma"/>
      <w:sz w:val="24"/>
    </w:rPr>
  </w:style>
  <w:style w:type="paragraph" w:customStyle="1" w:styleId="375">
    <w:name w:val="p16"/>
    <w:basedOn w:val="1"/>
    <w:qFormat/>
    <w:uiPriority w:val="0"/>
    <w:pPr>
      <w:widowControl/>
      <w:jc w:val="left"/>
    </w:pPr>
    <w:rPr>
      <w:kern w:val="0"/>
      <w:szCs w:val="21"/>
    </w:rPr>
  </w:style>
  <w:style w:type="paragraph" w:customStyle="1" w:styleId="376">
    <w:name w:val="Style29"/>
    <w:basedOn w:val="1"/>
    <w:unhideWhenUsed/>
    <w:qFormat/>
    <w:uiPriority w:val="0"/>
    <w:pPr>
      <w:spacing w:line="547" w:lineRule="exact"/>
      <w:ind w:firstLine="547"/>
    </w:pPr>
  </w:style>
  <w:style w:type="paragraph" w:customStyle="1" w:styleId="377">
    <w:name w:val="正文（无缩进）"/>
    <w:basedOn w:val="1"/>
    <w:qFormat/>
    <w:uiPriority w:val="0"/>
    <w:rPr>
      <w:rFonts w:ascii="Calibri" w:hAnsi="Calibri"/>
      <w:sz w:val="24"/>
      <w:szCs w:val="21"/>
    </w:rPr>
  </w:style>
  <w:style w:type="paragraph" w:customStyle="1" w:styleId="378">
    <w:name w:val="xl178"/>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center"/>
    </w:pPr>
    <w:rPr>
      <w:rFonts w:ascii="宋体" w:hAnsi="宋体" w:cs="宋体"/>
      <w:kern w:val="0"/>
      <w:sz w:val="20"/>
      <w:szCs w:val="20"/>
    </w:rPr>
  </w:style>
  <w:style w:type="paragraph" w:customStyle="1" w:styleId="37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380">
    <w:name w:val="Char3 Char Char Char"/>
    <w:basedOn w:val="1"/>
    <w:qFormat/>
    <w:uiPriority w:val="0"/>
    <w:pPr>
      <w:widowControl/>
      <w:spacing w:after="160" w:line="240" w:lineRule="exact"/>
      <w:ind w:firstLine="200" w:firstLineChars="200"/>
      <w:jc w:val="left"/>
    </w:pPr>
    <w:rPr>
      <w:rFonts w:ascii="Verdana" w:hAnsi="Verdana" w:eastAsia="黑体"/>
      <w:kern w:val="0"/>
      <w:sz w:val="28"/>
      <w:szCs w:val="20"/>
      <w:lang w:eastAsia="en-US"/>
    </w:rPr>
  </w:style>
  <w:style w:type="paragraph" w:customStyle="1" w:styleId="381">
    <w:name w:val="xl149"/>
    <w:basedOn w:val="1"/>
    <w:qFormat/>
    <w:uiPriority w:val="0"/>
    <w:pPr>
      <w:widowControl/>
      <w:pBdr>
        <w:top w:val="single" w:color="auto" w:sz="4" w:space="0"/>
        <w:left w:val="single" w:color="auto" w:sz="4" w:space="0"/>
      </w:pBdr>
      <w:shd w:val="clear" w:color="auto" w:fill="CCFFFF"/>
      <w:spacing w:before="100" w:beforeAutospacing="1" w:after="100" w:afterAutospacing="1"/>
      <w:ind w:firstLine="200" w:firstLineChars="200"/>
      <w:jc w:val="center"/>
    </w:pPr>
    <w:rPr>
      <w:rFonts w:ascii="宋体" w:hAnsi="宋体" w:cs="宋体"/>
      <w:kern w:val="0"/>
      <w:sz w:val="20"/>
      <w:szCs w:val="20"/>
    </w:rPr>
  </w:style>
  <w:style w:type="paragraph" w:customStyle="1" w:styleId="382">
    <w:name w:val="Char Char1 Char Char Char"/>
    <w:basedOn w:val="1"/>
    <w:qFormat/>
    <w:uiPriority w:val="0"/>
    <w:rPr>
      <w:kern w:val="0"/>
      <w:sz w:val="20"/>
      <w:szCs w:val="20"/>
    </w:rPr>
  </w:style>
  <w:style w:type="paragraph" w:customStyle="1" w:styleId="383">
    <w:name w:val="xl159"/>
    <w:basedOn w:val="1"/>
    <w:qFormat/>
    <w:uiPriority w:val="0"/>
    <w:pPr>
      <w:widowControl/>
      <w:pBdr>
        <w:left w:val="single" w:color="auto" w:sz="4" w:space="0"/>
        <w:bottom w:val="single" w:color="auto" w:sz="4" w:space="0"/>
        <w:right w:val="single" w:color="auto" w:sz="4" w:space="0"/>
      </w:pBdr>
      <w:shd w:val="clear" w:color="auto" w:fill="00FF00"/>
      <w:spacing w:before="100" w:beforeAutospacing="1" w:after="100" w:afterAutospacing="1"/>
      <w:ind w:firstLine="200" w:firstLineChars="200"/>
      <w:jc w:val="left"/>
    </w:pPr>
    <w:rPr>
      <w:rFonts w:ascii="宋体" w:hAnsi="宋体" w:cs="宋体"/>
      <w:kern w:val="0"/>
      <w:sz w:val="20"/>
      <w:szCs w:val="20"/>
    </w:rPr>
  </w:style>
  <w:style w:type="paragraph" w:customStyle="1" w:styleId="384">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left"/>
    </w:pPr>
    <w:rPr>
      <w:rFonts w:ascii="宋体" w:hAnsi="宋体" w:cs="宋体"/>
      <w:kern w:val="0"/>
      <w:sz w:val="20"/>
      <w:szCs w:val="20"/>
    </w:rPr>
  </w:style>
  <w:style w:type="paragraph" w:customStyle="1" w:styleId="385">
    <w:name w:val="xl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38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center"/>
    </w:pPr>
    <w:rPr>
      <w:rFonts w:ascii="宋体" w:hAnsi="宋体" w:cs="宋体"/>
      <w:kern w:val="0"/>
      <w:sz w:val="20"/>
      <w:szCs w:val="20"/>
    </w:rPr>
  </w:style>
  <w:style w:type="paragraph" w:customStyle="1" w:styleId="387">
    <w:name w:val="xl114"/>
    <w:basedOn w:val="1"/>
    <w:qFormat/>
    <w:uiPriority w:val="0"/>
    <w:pPr>
      <w:widowControl/>
      <w:pBdr>
        <w:top w:val="single" w:color="auto" w:sz="4" w:space="0"/>
        <w:bottom w:val="single" w:color="auto" w:sz="4" w:space="0"/>
        <w:right w:val="single" w:color="auto" w:sz="4" w:space="0"/>
      </w:pBdr>
      <w:shd w:val="clear" w:color="auto" w:fill="CC99FF"/>
      <w:spacing w:before="100" w:beforeAutospacing="1" w:after="100" w:afterAutospacing="1"/>
      <w:ind w:firstLine="200" w:firstLineChars="200"/>
      <w:jc w:val="center"/>
    </w:pPr>
    <w:rPr>
      <w:rFonts w:ascii="宋体" w:hAnsi="宋体" w:cs="宋体"/>
      <w:kern w:val="0"/>
      <w:sz w:val="20"/>
      <w:szCs w:val="20"/>
    </w:rPr>
  </w:style>
  <w:style w:type="paragraph" w:customStyle="1" w:styleId="388">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color w:val="FF0000"/>
      <w:kern w:val="0"/>
      <w:sz w:val="20"/>
      <w:szCs w:val="20"/>
    </w:rPr>
  </w:style>
  <w:style w:type="paragraph" w:customStyle="1" w:styleId="3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color w:val="FF0000"/>
      <w:kern w:val="0"/>
      <w:sz w:val="20"/>
      <w:szCs w:val="20"/>
    </w:rPr>
  </w:style>
  <w:style w:type="paragraph" w:customStyle="1" w:styleId="39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color w:val="FF0000"/>
      <w:kern w:val="0"/>
      <w:sz w:val="20"/>
      <w:szCs w:val="20"/>
    </w:rPr>
  </w:style>
  <w:style w:type="paragraph" w:customStyle="1" w:styleId="391">
    <w:name w:val="Style44"/>
    <w:basedOn w:val="1"/>
    <w:unhideWhenUsed/>
    <w:qFormat/>
    <w:uiPriority w:val="0"/>
  </w:style>
  <w:style w:type="paragraph" w:customStyle="1" w:styleId="39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bottom"/>
    </w:pPr>
    <w:rPr>
      <w:rFonts w:ascii="宋体" w:hAnsi="宋体" w:cs="宋体"/>
      <w:kern w:val="0"/>
      <w:sz w:val="20"/>
      <w:szCs w:val="20"/>
    </w:rPr>
  </w:style>
  <w:style w:type="paragraph" w:customStyle="1" w:styleId="393">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ind w:firstLine="200" w:firstLineChars="200"/>
      <w:jc w:val="center"/>
    </w:pPr>
    <w:rPr>
      <w:rFonts w:ascii="宋体" w:hAnsi="宋体" w:cs="宋体"/>
      <w:kern w:val="0"/>
      <w:sz w:val="20"/>
      <w:szCs w:val="20"/>
    </w:rPr>
  </w:style>
  <w:style w:type="paragraph" w:customStyle="1" w:styleId="394">
    <w:name w:val="Char1 Char Char Char Char Char Char Char Char Char"/>
    <w:basedOn w:val="1"/>
    <w:qFormat/>
    <w:uiPriority w:val="0"/>
    <w:rPr>
      <w:szCs w:val="20"/>
    </w:rPr>
  </w:style>
  <w:style w:type="paragraph" w:customStyle="1" w:styleId="395">
    <w:name w:val="Style56"/>
    <w:basedOn w:val="1"/>
    <w:unhideWhenUsed/>
    <w:qFormat/>
    <w:uiPriority w:val="0"/>
  </w:style>
  <w:style w:type="paragraph" w:customStyle="1" w:styleId="396">
    <w:name w:val="Char Char Char Char Char Char Char"/>
    <w:basedOn w:val="1"/>
    <w:qFormat/>
    <w:uiPriority w:val="0"/>
    <w:pPr>
      <w:snapToGrid w:val="0"/>
      <w:ind w:firstLine="200" w:firstLineChars="200"/>
    </w:pPr>
    <w:rPr>
      <w:rFonts w:eastAsia="仿宋_GB2312"/>
      <w:sz w:val="24"/>
    </w:rPr>
  </w:style>
  <w:style w:type="paragraph" w:customStyle="1" w:styleId="397">
    <w:name w:val="Style78"/>
    <w:basedOn w:val="1"/>
    <w:unhideWhenUsed/>
    <w:qFormat/>
    <w:uiPriority w:val="0"/>
  </w:style>
  <w:style w:type="paragraph" w:customStyle="1" w:styleId="398">
    <w:name w:val="标准文件_一级条标题"/>
    <w:basedOn w:val="268"/>
    <w:next w:val="165"/>
    <w:qFormat/>
    <w:uiPriority w:val="0"/>
    <w:pPr>
      <w:numPr>
        <w:ilvl w:val="2"/>
      </w:numPr>
      <w:spacing w:beforeLines="0" w:afterLines="0"/>
      <w:outlineLvl w:val="2"/>
    </w:pPr>
  </w:style>
  <w:style w:type="paragraph" w:customStyle="1" w:styleId="399">
    <w:name w:val="xl146"/>
    <w:basedOn w:val="1"/>
    <w:qFormat/>
    <w:uiPriority w:val="0"/>
    <w:pPr>
      <w:widowControl/>
      <w:pBdr>
        <w:left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40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1">
    <w:name w:val="表格文字"/>
    <w:basedOn w:val="1"/>
    <w:next w:val="1"/>
    <w:qFormat/>
    <w:uiPriority w:val="0"/>
    <w:pPr>
      <w:ind w:firstLine="200" w:firstLineChars="200"/>
      <w:jc w:val="left"/>
    </w:pPr>
    <w:rPr>
      <w:sz w:val="24"/>
      <w:szCs w:val="20"/>
    </w:rPr>
  </w:style>
  <w:style w:type="paragraph" w:customStyle="1" w:styleId="402">
    <w:name w:val="10"/>
    <w:basedOn w:val="1"/>
    <w:qFormat/>
    <w:uiPriority w:val="0"/>
    <w:pPr>
      <w:ind w:firstLine="454" w:firstLineChars="200"/>
      <w:jc w:val="left"/>
    </w:pPr>
    <w:rPr>
      <w:rFonts w:ascii="Verdana" w:hAnsi="Verdana" w:eastAsia="黑体"/>
      <w:kern w:val="0"/>
      <w:sz w:val="28"/>
      <w:szCs w:val="20"/>
      <w:lang w:eastAsia="en-US"/>
    </w:rPr>
  </w:style>
  <w:style w:type="paragraph" w:customStyle="1" w:styleId="403">
    <w:name w:val="Picture"/>
    <w:basedOn w:val="1"/>
    <w:qFormat/>
    <w:uiPriority w:val="1"/>
    <w:pPr>
      <w:spacing w:before="120" w:line="288" w:lineRule="auto"/>
      <w:ind w:left="1247"/>
      <w:jc w:val="left"/>
    </w:pPr>
    <w:rPr>
      <w:rFonts w:ascii="Arial" w:hAnsi="Arial"/>
      <w:kern w:val="44"/>
      <w:szCs w:val="44"/>
    </w:rPr>
  </w:style>
  <w:style w:type="paragraph" w:customStyle="1" w:styleId="404">
    <w:name w:val="xl82"/>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ind w:firstLine="200" w:firstLineChars="200"/>
      <w:jc w:val="left"/>
    </w:pPr>
    <w:rPr>
      <w:rFonts w:ascii="宋体" w:hAnsi="宋体" w:cs="宋体"/>
      <w:kern w:val="0"/>
      <w:sz w:val="20"/>
      <w:szCs w:val="20"/>
    </w:rPr>
  </w:style>
  <w:style w:type="paragraph" w:customStyle="1" w:styleId="405">
    <w:name w:val="常规2"/>
    <w:basedOn w:val="1"/>
    <w:qFormat/>
    <w:uiPriority w:val="0"/>
    <w:pPr>
      <w:suppressAutoHyphens/>
      <w:overflowPunct w:val="0"/>
      <w:autoSpaceDE w:val="0"/>
      <w:autoSpaceDN w:val="0"/>
      <w:adjustRightInd w:val="0"/>
      <w:snapToGrid w:val="0"/>
      <w:spacing w:line="300" w:lineRule="auto"/>
      <w:ind w:firstLine="200" w:firstLineChars="200"/>
      <w:jc w:val="left"/>
    </w:pPr>
    <w:rPr>
      <w:rFonts w:ascii="Arial" w:hAnsi="Arial" w:eastAsia="华文细黑"/>
      <w:kern w:val="0"/>
      <w:sz w:val="28"/>
      <w:szCs w:val="20"/>
    </w:rPr>
  </w:style>
  <w:style w:type="paragraph" w:customStyle="1" w:styleId="406">
    <w:name w:val="xl145"/>
    <w:basedOn w:val="1"/>
    <w:qFormat/>
    <w:uiPriority w:val="0"/>
    <w:pPr>
      <w:widowControl/>
      <w:pBdr>
        <w:top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407">
    <w:name w:val="Style77"/>
    <w:basedOn w:val="1"/>
    <w:unhideWhenUsed/>
    <w:qFormat/>
    <w:uiPriority w:val="0"/>
  </w:style>
  <w:style w:type="paragraph" w:customStyle="1" w:styleId="40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409">
    <w:name w:val="Char3 Char Char Char1"/>
    <w:basedOn w:val="1"/>
    <w:qFormat/>
    <w:uiPriority w:val="0"/>
    <w:pPr>
      <w:widowControl/>
      <w:spacing w:after="160" w:line="240" w:lineRule="exact"/>
      <w:ind w:firstLine="200" w:firstLineChars="200"/>
      <w:jc w:val="left"/>
    </w:pPr>
    <w:rPr>
      <w:rFonts w:ascii="Verdana" w:hAnsi="Verdana" w:eastAsia="黑体"/>
      <w:kern w:val="0"/>
      <w:sz w:val="28"/>
      <w:szCs w:val="20"/>
      <w:lang w:eastAsia="en-US"/>
    </w:rPr>
  </w:style>
  <w:style w:type="paragraph" w:customStyle="1" w:styleId="410">
    <w:name w:val="xl176"/>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ind w:firstLine="200" w:firstLineChars="200"/>
      <w:jc w:val="center"/>
    </w:pPr>
    <w:rPr>
      <w:rFonts w:ascii="宋体" w:hAnsi="宋体" w:cs="宋体"/>
      <w:kern w:val="0"/>
      <w:sz w:val="20"/>
      <w:szCs w:val="20"/>
    </w:rPr>
  </w:style>
  <w:style w:type="paragraph" w:customStyle="1" w:styleId="411">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ind w:firstLine="200" w:firstLineChars="200"/>
      <w:jc w:val="center"/>
    </w:pPr>
    <w:rPr>
      <w:rFonts w:ascii="宋体" w:hAnsi="宋体" w:cs="宋体"/>
      <w:kern w:val="0"/>
      <w:sz w:val="20"/>
      <w:szCs w:val="20"/>
    </w:rPr>
  </w:style>
  <w:style w:type="paragraph" w:customStyle="1" w:styleId="412">
    <w:name w:val="xl171"/>
    <w:basedOn w:val="1"/>
    <w:qFormat/>
    <w:uiPriority w:val="0"/>
    <w:pPr>
      <w:widowControl/>
      <w:pBdr>
        <w:top w:val="single" w:color="auto" w:sz="4" w:space="0"/>
        <w:left w:val="single" w:color="auto" w:sz="4" w:space="0"/>
        <w:bottom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413">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414">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ind w:firstLine="200" w:firstLineChars="200"/>
      <w:jc w:val="center"/>
    </w:pPr>
    <w:rPr>
      <w:rFonts w:ascii="宋体" w:hAnsi="宋体" w:cs="宋体"/>
      <w:b/>
      <w:bCs/>
      <w:kern w:val="0"/>
      <w:sz w:val="20"/>
      <w:szCs w:val="20"/>
    </w:rPr>
  </w:style>
  <w:style w:type="paragraph" w:customStyle="1" w:styleId="415">
    <w:name w:val="默认段落字体 Para Char Char Char Char Char Char Char Char Char Char Char Char Char Char Char Char Char Char Char"/>
    <w:basedOn w:val="1"/>
    <w:qFormat/>
    <w:uiPriority w:val="0"/>
  </w:style>
  <w:style w:type="paragraph" w:customStyle="1" w:styleId="416">
    <w:name w:val="样式 标题 2 + 宋体 五号 行距: 单倍行距"/>
    <w:basedOn w:val="4"/>
    <w:qFormat/>
    <w:uiPriority w:val="0"/>
    <w:pPr>
      <w:tabs>
        <w:tab w:val="left" w:pos="2175"/>
      </w:tabs>
      <w:adjustRightInd w:val="0"/>
      <w:spacing w:before="260" w:after="260" w:line="240" w:lineRule="auto"/>
      <w:ind w:left="2175" w:hanging="1275"/>
      <w:textAlignment w:val="baseline"/>
    </w:pPr>
    <w:rPr>
      <w:rFonts w:ascii="宋体" w:hAnsi="宋体"/>
      <w:kern w:val="0"/>
      <w:sz w:val="21"/>
      <w:szCs w:val="20"/>
    </w:rPr>
  </w:style>
  <w:style w:type="paragraph" w:customStyle="1" w:styleId="417">
    <w:name w:val="Style47"/>
    <w:basedOn w:val="1"/>
    <w:unhideWhenUsed/>
    <w:qFormat/>
    <w:uiPriority w:val="0"/>
  </w:style>
  <w:style w:type="paragraph" w:customStyle="1" w:styleId="418">
    <w:name w:val="xl174"/>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pPr>
    <w:rPr>
      <w:rFonts w:ascii="宋体" w:hAnsi="宋体" w:cs="宋体"/>
      <w:b/>
      <w:bCs/>
      <w:kern w:val="0"/>
      <w:sz w:val="20"/>
      <w:szCs w:val="20"/>
    </w:rPr>
  </w:style>
  <w:style w:type="paragraph" w:customStyle="1" w:styleId="419">
    <w:name w:val="标题2"/>
    <w:basedOn w:val="49"/>
    <w:qFormat/>
    <w:uiPriority w:val="0"/>
    <w:pPr>
      <w:spacing w:after="240"/>
      <w:jc w:val="left"/>
    </w:pPr>
    <w:rPr>
      <w:sz w:val="30"/>
    </w:rPr>
  </w:style>
  <w:style w:type="paragraph" w:customStyle="1" w:styleId="420">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ind w:firstLine="200" w:firstLineChars="200"/>
      <w:jc w:val="left"/>
    </w:pPr>
    <w:rPr>
      <w:rFonts w:ascii="宋体" w:hAnsi="宋体" w:cs="宋体"/>
      <w:kern w:val="0"/>
      <w:sz w:val="20"/>
      <w:szCs w:val="20"/>
    </w:rPr>
  </w:style>
  <w:style w:type="paragraph" w:customStyle="1" w:styleId="421">
    <w:name w:val="xl123"/>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ind w:firstLine="200" w:firstLineChars="200"/>
      <w:jc w:val="left"/>
    </w:pPr>
    <w:rPr>
      <w:rFonts w:ascii="宋体" w:hAnsi="宋体" w:cs="宋体"/>
      <w:kern w:val="0"/>
      <w:sz w:val="20"/>
      <w:szCs w:val="20"/>
    </w:rPr>
  </w:style>
  <w:style w:type="paragraph" w:customStyle="1" w:styleId="422">
    <w:name w:val="Char Char Char Char Char Char Char1"/>
    <w:basedOn w:val="1"/>
    <w:qFormat/>
    <w:uiPriority w:val="0"/>
    <w:pPr>
      <w:snapToGrid w:val="0"/>
      <w:ind w:firstLine="200" w:firstLineChars="200"/>
    </w:pPr>
    <w:rPr>
      <w:rFonts w:eastAsia="仿宋_GB2312"/>
      <w:sz w:val="24"/>
    </w:rPr>
  </w:style>
  <w:style w:type="paragraph" w:customStyle="1" w:styleId="42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color w:val="FF0000"/>
      <w:kern w:val="0"/>
      <w:sz w:val="20"/>
      <w:szCs w:val="20"/>
    </w:rPr>
  </w:style>
  <w:style w:type="paragraph" w:customStyle="1" w:styleId="424">
    <w:name w:val="xl170"/>
    <w:basedOn w:val="1"/>
    <w:qFormat/>
    <w:uiPriority w:val="0"/>
    <w:pPr>
      <w:widowControl/>
      <w:pBdr>
        <w:top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425">
    <w:name w:val="xl91"/>
    <w:basedOn w:val="1"/>
    <w:qFormat/>
    <w:uiPriority w:val="0"/>
    <w:pPr>
      <w:widowControl/>
      <w:shd w:val="clear" w:color="auto" w:fill="FFFF00"/>
      <w:spacing w:before="100" w:beforeAutospacing="1" w:after="100" w:afterAutospacing="1"/>
      <w:ind w:firstLine="200" w:firstLineChars="200"/>
      <w:jc w:val="left"/>
    </w:pPr>
    <w:rPr>
      <w:rFonts w:ascii="宋体" w:hAnsi="宋体" w:cs="宋体"/>
      <w:kern w:val="0"/>
      <w:sz w:val="20"/>
      <w:szCs w:val="20"/>
    </w:rPr>
  </w:style>
  <w:style w:type="paragraph" w:customStyle="1" w:styleId="426">
    <w:name w:val="xl147"/>
    <w:basedOn w:val="1"/>
    <w:qFormat/>
    <w:uiPriority w:val="0"/>
    <w:pPr>
      <w:widowControl/>
      <w:pBdr>
        <w:lef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427">
    <w:name w:val="xl162"/>
    <w:basedOn w:val="1"/>
    <w:qFormat/>
    <w:uiPriority w:val="0"/>
    <w:pPr>
      <w:widowControl/>
      <w:pBdr>
        <w:left w:val="single" w:color="auto" w:sz="4" w:space="0"/>
        <w:bottom w:val="single" w:color="auto" w:sz="4" w:space="0"/>
        <w:right w:val="single" w:color="auto" w:sz="4" w:space="0"/>
      </w:pBdr>
      <w:shd w:val="clear" w:color="auto" w:fill="CCFFFF"/>
      <w:spacing w:before="100" w:beforeAutospacing="1" w:after="100" w:afterAutospacing="1"/>
      <w:ind w:firstLine="200" w:firstLineChars="200"/>
      <w:jc w:val="center"/>
    </w:pPr>
    <w:rPr>
      <w:rFonts w:ascii="宋体" w:hAnsi="宋体" w:cs="宋体"/>
      <w:kern w:val="0"/>
      <w:sz w:val="20"/>
      <w:szCs w:val="20"/>
    </w:rPr>
  </w:style>
  <w:style w:type="paragraph" w:customStyle="1" w:styleId="428">
    <w:name w:val="标准文件_二级条标题"/>
    <w:basedOn w:val="398"/>
    <w:next w:val="165"/>
    <w:qFormat/>
    <w:uiPriority w:val="0"/>
    <w:pPr>
      <w:numPr>
        <w:ilvl w:val="3"/>
      </w:numPr>
      <w:outlineLvl w:val="3"/>
    </w:pPr>
  </w:style>
  <w:style w:type="paragraph" w:customStyle="1" w:styleId="429">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ind w:firstLine="200" w:firstLineChars="200"/>
      <w:jc w:val="center"/>
    </w:pPr>
    <w:rPr>
      <w:rFonts w:ascii="宋体" w:hAnsi="宋体" w:cs="宋体"/>
      <w:kern w:val="0"/>
      <w:sz w:val="20"/>
      <w:szCs w:val="20"/>
    </w:rPr>
  </w:style>
  <w:style w:type="paragraph" w:customStyle="1" w:styleId="430">
    <w:name w:val="附录四级条标题"/>
    <w:basedOn w:val="431"/>
    <w:next w:val="1"/>
    <w:qFormat/>
    <w:uiPriority w:val="0"/>
    <w:pPr>
      <w:outlineLvl w:val="5"/>
    </w:pPr>
  </w:style>
  <w:style w:type="paragraph" w:customStyle="1" w:styleId="431">
    <w:name w:val="附录三级条标题"/>
    <w:basedOn w:val="432"/>
    <w:next w:val="1"/>
    <w:qFormat/>
    <w:uiPriority w:val="0"/>
    <w:pPr>
      <w:outlineLvl w:val="4"/>
    </w:pPr>
  </w:style>
  <w:style w:type="paragraph" w:customStyle="1" w:styleId="432">
    <w:name w:val="附录二级条标题"/>
    <w:basedOn w:val="1"/>
    <w:next w:val="1"/>
    <w:qFormat/>
    <w:uiPriority w:val="0"/>
    <w:pPr>
      <w:widowControl/>
      <w:wordWrap w:val="0"/>
      <w:overflowPunct w:val="0"/>
      <w:autoSpaceDE w:val="0"/>
      <w:autoSpaceDN w:val="0"/>
      <w:ind w:firstLine="200" w:firstLineChars="200"/>
      <w:jc w:val="left"/>
      <w:textAlignment w:val="baseline"/>
      <w:outlineLvl w:val="3"/>
    </w:pPr>
    <w:rPr>
      <w:rFonts w:ascii="宋体" w:hAnsi="宋体"/>
      <w:b/>
      <w:bCs/>
      <w:kern w:val="21"/>
      <w:szCs w:val="20"/>
    </w:rPr>
  </w:style>
  <w:style w:type="paragraph" w:customStyle="1" w:styleId="433">
    <w:name w:val="Style8"/>
    <w:basedOn w:val="1"/>
    <w:unhideWhenUsed/>
    <w:qFormat/>
    <w:uiPriority w:val="0"/>
    <w:pPr>
      <w:spacing w:line="566" w:lineRule="exact"/>
      <w:jc w:val="center"/>
    </w:pPr>
  </w:style>
  <w:style w:type="paragraph" w:customStyle="1" w:styleId="434">
    <w:name w:val="Char Char1 Char Char Char Char"/>
    <w:basedOn w:val="1"/>
    <w:qFormat/>
    <w:uiPriority w:val="0"/>
    <w:pPr>
      <w:ind w:firstLine="200" w:firstLineChars="200"/>
      <w:jc w:val="left"/>
    </w:pPr>
    <w:rPr>
      <w:szCs w:val="20"/>
    </w:rPr>
  </w:style>
  <w:style w:type="paragraph" w:styleId="435">
    <w:name w:val="List Paragraph"/>
    <w:basedOn w:val="1"/>
    <w:qFormat/>
    <w:uiPriority w:val="34"/>
    <w:pPr>
      <w:ind w:firstLine="420" w:firstLineChars="200"/>
    </w:pPr>
    <w:rPr>
      <w:rFonts w:ascii="Calibri" w:hAnsi="Calibri"/>
      <w:szCs w:val="22"/>
    </w:rPr>
  </w:style>
  <w:style w:type="paragraph" w:customStyle="1" w:styleId="436">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ind w:firstLine="200" w:firstLineChars="200"/>
      <w:jc w:val="center"/>
    </w:pPr>
    <w:rPr>
      <w:rFonts w:ascii="宋体" w:hAnsi="宋体" w:cs="宋体"/>
      <w:kern w:val="0"/>
      <w:sz w:val="20"/>
      <w:szCs w:val="20"/>
    </w:rPr>
  </w:style>
  <w:style w:type="paragraph" w:customStyle="1" w:styleId="437">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left"/>
    </w:pPr>
    <w:rPr>
      <w:rFonts w:ascii="宋体" w:hAnsi="宋体" w:cs="宋体"/>
      <w:kern w:val="0"/>
      <w:sz w:val="20"/>
      <w:szCs w:val="20"/>
    </w:rPr>
  </w:style>
  <w:style w:type="paragraph" w:customStyle="1" w:styleId="438">
    <w:name w:val="Char Char Char1 Char"/>
    <w:basedOn w:val="1"/>
    <w:qFormat/>
    <w:uiPriority w:val="0"/>
    <w:pPr>
      <w:tabs>
        <w:tab w:val="left" w:pos="360"/>
      </w:tabs>
      <w:snapToGrid w:val="0"/>
    </w:pPr>
    <w:rPr>
      <w:rFonts w:eastAsia="仿宋_GB2312" w:cs="宋体"/>
      <w:sz w:val="24"/>
    </w:rPr>
  </w:style>
  <w:style w:type="paragraph" w:customStyle="1" w:styleId="439">
    <w:name w:val="xl169"/>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440">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ind w:firstLine="200" w:firstLineChars="200"/>
      <w:jc w:val="center"/>
    </w:pPr>
    <w:rPr>
      <w:rFonts w:ascii="宋体" w:hAnsi="宋体" w:cs="宋体"/>
      <w:kern w:val="0"/>
      <w:sz w:val="20"/>
      <w:szCs w:val="20"/>
    </w:rPr>
  </w:style>
  <w:style w:type="paragraph" w:customStyle="1" w:styleId="441">
    <w:name w:val="xl87"/>
    <w:basedOn w:val="1"/>
    <w:qFormat/>
    <w:uiPriority w:val="0"/>
    <w:pPr>
      <w:widowControl/>
      <w:shd w:val="clear" w:color="auto" w:fill="FFFF00"/>
      <w:spacing w:before="100" w:beforeAutospacing="1" w:after="100" w:afterAutospacing="1"/>
      <w:ind w:firstLine="200" w:firstLineChars="200"/>
      <w:jc w:val="left"/>
    </w:pPr>
    <w:rPr>
      <w:rFonts w:ascii="宋体" w:hAnsi="宋体" w:cs="宋体"/>
      <w:kern w:val="0"/>
      <w:sz w:val="20"/>
      <w:szCs w:val="20"/>
    </w:rPr>
  </w:style>
  <w:style w:type="paragraph" w:customStyle="1" w:styleId="442">
    <w:name w:val="列出段落1"/>
    <w:basedOn w:val="1"/>
    <w:qFormat/>
    <w:uiPriority w:val="0"/>
    <w:pPr>
      <w:ind w:firstLine="420" w:firstLineChars="200"/>
    </w:pPr>
    <w:rPr>
      <w:rFonts w:ascii="Calibri" w:hAnsi="Calibri" w:cs="Calibri"/>
      <w:szCs w:val="21"/>
    </w:rPr>
  </w:style>
  <w:style w:type="paragraph" w:customStyle="1" w:styleId="443">
    <w:name w:val="Style80"/>
    <w:basedOn w:val="1"/>
    <w:unhideWhenUsed/>
    <w:qFormat/>
    <w:uiPriority w:val="0"/>
  </w:style>
  <w:style w:type="paragraph" w:customStyle="1" w:styleId="44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5">
    <w:name w:val="Char2"/>
    <w:basedOn w:val="1"/>
    <w:qFormat/>
    <w:uiPriority w:val="0"/>
    <w:pPr>
      <w:ind w:firstLine="200" w:firstLineChars="200"/>
      <w:jc w:val="left"/>
    </w:pPr>
    <w:rPr>
      <w:rFonts w:ascii="Tahoma" w:hAnsi="Tahoma"/>
      <w:szCs w:val="20"/>
    </w:rPr>
  </w:style>
  <w:style w:type="paragraph" w:customStyle="1" w:styleId="446">
    <w:name w:val="xl16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center"/>
    </w:pPr>
    <w:rPr>
      <w:rFonts w:ascii="宋体" w:hAnsi="宋体" w:cs="宋体"/>
      <w:b/>
      <w:bCs/>
      <w:kern w:val="0"/>
      <w:sz w:val="20"/>
      <w:szCs w:val="20"/>
    </w:rPr>
  </w:style>
  <w:style w:type="paragraph" w:customStyle="1" w:styleId="447">
    <w:name w:val="Style81"/>
    <w:basedOn w:val="1"/>
    <w:unhideWhenUsed/>
    <w:qFormat/>
    <w:uiPriority w:val="0"/>
    <w:pPr>
      <w:spacing w:line="547" w:lineRule="exact"/>
    </w:pPr>
  </w:style>
  <w:style w:type="paragraph" w:customStyle="1" w:styleId="448">
    <w:name w:val="Style9"/>
    <w:basedOn w:val="1"/>
    <w:unhideWhenUsed/>
    <w:qFormat/>
    <w:uiPriority w:val="0"/>
  </w:style>
  <w:style w:type="paragraph" w:customStyle="1" w:styleId="449">
    <w:name w:val="样式 正文首行缩进 + 仿宋_GB2312 小四 首行缩进:  2 字符 段后: 0.5 行 行距: 1.5 倍行距"/>
    <w:basedOn w:val="1"/>
    <w:qFormat/>
    <w:uiPriority w:val="0"/>
    <w:pPr>
      <w:ind w:firstLine="200" w:firstLineChars="200"/>
      <w:jc w:val="left"/>
    </w:pPr>
    <w:rPr>
      <w:rFonts w:ascii="仿宋_GB2312" w:hAnsi="仿宋_GB2312" w:eastAsia="仿宋_GB2312" w:cs="宋体"/>
      <w:sz w:val="24"/>
      <w:szCs w:val="20"/>
    </w:rPr>
  </w:style>
  <w:style w:type="paragraph" w:customStyle="1" w:styleId="450">
    <w:name w:val="样式 仿宋_GB2312 小三 行距: 1.5 倍行距"/>
    <w:basedOn w:val="1"/>
    <w:qFormat/>
    <w:uiPriority w:val="0"/>
    <w:pPr>
      <w:ind w:firstLine="600" w:firstLineChars="200"/>
      <w:jc w:val="left"/>
    </w:pPr>
    <w:rPr>
      <w:rFonts w:ascii="仿宋_GB2312" w:eastAsia="仿宋_GB2312" w:cs="宋体"/>
      <w:kern w:val="0"/>
      <w:sz w:val="32"/>
      <w:szCs w:val="20"/>
    </w:rPr>
  </w:style>
  <w:style w:type="paragraph" w:customStyle="1" w:styleId="451">
    <w:name w:val="标准文件_三级条标题"/>
    <w:basedOn w:val="428"/>
    <w:next w:val="165"/>
    <w:qFormat/>
    <w:uiPriority w:val="0"/>
    <w:pPr>
      <w:numPr>
        <w:ilvl w:val="4"/>
      </w:numPr>
      <w:outlineLvl w:val="4"/>
    </w:pPr>
  </w:style>
  <w:style w:type="paragraph" w:customStyle="1" w:styleId="45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kern w:val="0"/>
      <w:sz w:val="20"/>
      <w:szCs w:val="20"/>
    </w:rPr>
  </w:style>
  <w:style w:type="paragraph" w:customStyle="1" w:styleId="453">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454">
    <w:name w:val="表标题"/>
    <w:basedOn w:val="1"/>
    <w:next w:val="1"/>
    <w:qFormat/>
    <w:uiPriority w:val="0"/>
    <w:pPr>
      <w:widowControl/>
      <w:numPr>
        <w:ilvl w:val="0"/>
        <w:numId w:val="8"/>
      </w:numPr>
      <w:spacing w:before="100" w:beforeAutospacing="1" w:after="100" w:afterAutospacing="1"/>
      <w:ind w:firstLine="200" w:firstLineChars="200"/>
      <w:jc w:val="center"/>
    </w:pPr>
    <w:rPr>
      <w:rFonts w:ascii="宋体" w:hAnsi="宋体" w:cs="宋体"/>
      <w:sz w:val="24"/>
    </w:rPr>
  </w:style>
  <w:style w:type="paragraph" w:customStyle="1" w:styleId="45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456">
    <w:name w:val="Style61"/>
    <w:basedOn w:val="1"/>
    <w:unhideWhenUsed/>
    <w:qFormat/>
    <w:uiPriority w:val="0"/>
  </w:style>
  <w:style w:type="paragraph" w:customStyle="1" w:styleId="4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458">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459">
    <w:name w:val="xl177"/>
    <w:basedOn w:val="1"/>
    <w:qFormat/>
    <w:uiPriority w:val="0"/>
    <w:pPr>
      <w:widowControl/>
      <w:pBdr>
        <w:top w:val="single" w:color="auto" w:sz="4" w:space="0"/>
        <w:bottom w:val="single" w:color="auto" w:sz="4" w:space="0"/>
      </w:pBdr>
      <w:shd w:val="clear" w:color="auto" w:fill="C0C0C0"/>
      <w:spacing w:before="100" w:beforeAutospacing="1" w:after="100" w:afterAutospacing="1"/>
      <w:ind w:firstLine="200" w:firstLineChars="200"/>
      <w:jc w:val="center"/>
    </w:pPr>
    <w:rPr>
      <w:rFonts w:ascii="宋体" w:hAnsi="宋体" w:cs="宋体"/>
      <w:kern w:val="0"/>
      <w:sz w:val="20"/>
      <w:szCs w:val="20"/>
    </w:rPr>
  </w:style>
  <w:style w:type="paragraph" w:customStyle="1" w:styleId="460">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center"/>
    </w:pPr>
    <w:rPr>
      <w:rFonts w:ascii="宋体" w:hAnsi="宋体" w:cs="宋体"/>
      <w:b/>
      <w:bCs/>
      <w:kern w:val="0"/>
      <w:sz w:val="20"/>
      <w:szCs w:val="20"/>
    </w:rPr>
  </w:style>
  <w:style w:type="paragraph" w:customStyle="1" w:styleId="461">
    <w:name w:val="Char3 Char Char Char1 Char Char Char"/>
    <w:basedOn w:val="1"/>
    <w:qFormat/>
    <w:uiPriority w:val="0"/>
    <w:pPr>
      <w:widowControl/>
      <w:spacing w:after="160" w:line="240" w:lineRule="exact"/>
      <w:ind w:firstLine="200" w:firstLineChars="200"/>
      <w:jc w:val="left"/>
    </w:pPr>
    <w:rPr>
      <w:rFonts w:ascii="Verdana" w:hAnsi="Verdana" w:eastAsia="黑体"/>
      <w:kern w:val="0"/>
      <w:sz w:val="28"/>
      <w:szCs w:val="20"/>
      <w:lang w:eastAsia="en-US"/>
    </w:rPr>
  </w:style>
  <w:style w:type="paragraph" w:customStyle="1" w:styleId="462">
    <w:name w:val="font7"/>
    <w:basedOn w:val="1"/>
    <w:qFormat/>
    <w:uiPriority w:val="0"/>
    <w:pPr>
      <w:widowControl/>
      <w:spacing w:before="100" w:beforeAutospacing="1" w:after="100" w:afterAutospacing="1"/>
      <w:ind w:firstLine="200" w:firstLineChars="200"/>
      <w:jc w:val="left"/>
    </w:pPr>
    <w:rPr>
      <w:rFonts w:ascii="宋体" w:hAnsi="宋体" w:cs="宋体"/>
      <w:color w:val="FF0000"/>
      <w:kern w:val="0"/>
      <w:sz w:val="20"/>
      <w:szCs w:val="20"/>
    </w:rPr>
  </w:style>
  <w:style w:type="paragraph" w:customStyle="1" w:styleId="463">
    <w:name w:val="正文图标题"/>
    <w:next w:val="1"/>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464">
    <w:name w:val="xl165"/>
    <w:basedOn w:val="1"/>
    <w:qFormat/>
    <w:uiPriority w:val="0"/>
    <w:pPr>
      <w:widowControl/>
      <w:pBdr>
        <w:top w:val="single" w:color="auto" w:sz="4" w:space="0"/>
        <w:bottom w:val="single" w:color="auto" w:sz="4" w:space="0"/>
        <w:right w:val="single" w:color="auto" w:sz="4" w:space="0"/>
      </w:pBdr>
      <w:shd w:val="clear" w:color="auto" w:fill="FF0000"/>
      <w:spacing w:before="100" w:beforeAutospacing="1" w:after="100" w:afterAutospacing="1"/>
      <w:ind w:firstLine="200" w:firstLineChars="200"/>
      <w:jc w:val="left"/>
    </w:pPr>
    <w:rPr>
      <w:rFonts w:ascii="宋体" w:hAnsi="宋体" w:cs="宋体"/>
      <w:kern w:val="0"/>
      <w:sz w:val="20"/>
      <w:szCs w:val="20"/>
    </w:rPr>
  </w:style>
  <w:style w:type="paragraph" w:customStyle="1" w:styleId="465">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b/>
      <w:bCs/>
      <w:kern w:val="0"/>
      <w:sz w:val="20"/>
      <w:szCs w:val="20"/>
    </w:rPr>
  </w:style>
  <w:style w:type="paragraph" w:customStyle="1" w:styleId="466">
    <w:name w:val="样式 标题 33h33rd levelH3sect1.2.3Level 3 HeadHeading 3 - old..."/>
    <w:basedOn w:val="5"/>
    <w:qFormat/>
    <w:uiPriority w:val="0"/>
    <w:pPr>
      <w:spacing w:beforeLines="50" w:line="415" w:lineRule="auto"/>
    </w:pPr>
    <w:rPr>
      <w:rFonts w:cs="宋体"/>
      <w:sz w:val="30"/>
      <w:szCs w:val="20"/>
    </w:rPr>
  </w:style>
  <w:style w:type="paragraph" w:customStyle="1" w:styleId="467">
    <w:name w:val="样式 正文缩进正文（首行缩进两字）±íÕýÎÄÕýÎÄ·ÇËõ½ø±í正文1正文缩进1正文缩进陈木华中文正文表..."/>
    <w:basedOn w:val="1"/>
    <w:qFormat/>
    <w:uiPriority w:val="0"/>
    <w:pPr>
      <w:ind w:firstLine="358" w:firstLineChars="170"/>
    </w:pPr>
    <w:rPr>
      <w:rFonts w:cs="宋体"/>
      <w:b/>
      <w:i/>
      <w:szCs w:val="21"/>
    </w:rPr>
  </w:style>
  <w:style w:type="paragraph" w:customStyle="1" w:styleId="468">
    <w:name w:val="xl120"/>
    <w:basedOn w:val="1"/>
    <w:qFormat/>
    <w:uiPriority w:val="0"/>
    <w:pPr>
      <w:widowControl/>
      <w:pBdr>
        <w:left w:val="single" w:color="auto" w:sz="4" w:space="0"/>
        <w:right w:val="single" w:color="auto" w:sz="4" w:space="0"/>
      </w:pBdr>
      <w:spacing w:before="100" w:beforeAutospacing="1" w:after="100" w:afterAutospacing="1"/>
      <w:ind w:firstLine="200" w:firstLineChars="200"/>
      <w:jc w:val="left"/>
    </w:pPr>
    <w:rPr>
      <w:rFonts w:ascii="宋体" w:hAnsi="宋体" w:cs="宋体"/>
      <w:color w:val="FF0000"/>
      <w:kern w:val="0"/>
      <w:sz w:val="20"/>
      <w:szCs w:val="20"/>
    </w:rPr>
  </w:style>
  <w:style w:type="paragraph" w:customStyle="1" w:styleId="469">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470">
    <w:name w:val="xl89"/>
    <w:basedOn w:val="1"/>
    <w:qFormat/>
    <w:uiPriority w:val="0"/>
    <w:pPr>
      <w:widowControl/>
      <w:pBdr>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left"/>
    </w:pPr>
    <w:rPr>
      <w:rFonts w:ascii="宋体" w:hAnsi="宋体" w:cs="宋体"/>
      <w:kern w:val="0"/>
      <w:sz w:val="20"/>
      <w:szCs w:val="20"/>
    </w:rPr>
  </w:style>
  <w:style w:type="paragraph" w:customStyle="1" w:styleId="471">
    <w:name w:val="Char3 Char Char"/>
    <w:basedOn w:val="1"/>
    <w:qFormat/>
    <w:uiPriority w:val="0"/>
    <w:pPr>
      <w:widowControl/>
      <w:spacing w:after="160" w:line="240" w:lineRule="exact"/>
      <w:ind w:firstLine="200" w:firstLineChars="200"/>
      <w:jc w:val="left"/>
    </w:pPr>
    <w:rPr>
      <w:rFonts w:ascii="Verdana" w:hAnsi="Verdana" w:eastAsia="黑体"/>
      <w:kern w:val="0"/>
      <w:sz w:val="28"/>
      <w:szCs w:val="20"/>
      <w:lang w:eastAsia="en-US"/>
    </w:rPr>
  </w:style>
  <w:style w:type="paragraph" w:customStyle="1" w:styleId="472">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473">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ind w:firstLine="200" w:firstLineChars="200"/>
      <w:jc w:val="left"/>
    </w:pPr>
    <w:rPr>
      <w:rFonts w:ascii="宋体" w:hAnsi="宋体" w:cs="宋体"/>
      <w:kern w:val="0"/>
      <w:sz w:val="20"/>
      <w:szCs w:val="20"/>
    </w:rPr>
  </w:style>
  <w:style w:type="paragraph" w:customStyle="1" w:styleId="47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left"/>
    </w:pPr>
    <w:rPr>
      <w:rFonts w:ascii="宋体" w:hAnsi="宋体" w:cs="宋体"/>
      <w:kern w:val="0"/>
      <w:sz w:val="20"/>
      <w:szCs w:val="20"/>
    </w:rPr>
  </w:style>
  <w:style w:type="paragraph" w:customStyle="1" w:styleId="475">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476">
    <w:name w:val="Style46"/>
    <w:basedOn w:val="1"/>
    <w:unhideWhenUsed/>
    <w:qFormat/>
    <w:uiPriority w:val="0"/>
    <w:pPr>
      <w:spacing w:line="672" w:lineRule="exact"/>
    </w:pPr>
  </w:style>
  <w:style w:type="paragraph" w:customStyle="1" w:styleId="477">
    <w:name w:val="font8"/>
    <w:basedOn w:val="1"/>
    <w:qFormat/>
    <w:uiPriority w:val="0"/>
    <w:pPr>
      <w:widowControl/>
      <w:spacing w:before="100" w:beforeAutospacing="1" w:after="100" w:afterAutospacing="1"/>
      <w:ind w:firstLine="200" w:firstLineChars="200"/>
      <w:jc w:val="left"/>
    </w:pPr>
    <w:rPr>
      <w:kern w:val="0"/>
      <w:sz w:val="20"/>
      <w:szCs w:val="20"/>
    </w:rPr>
  </w:style>
  <w:style w:type="paragraph" w:customStyle="1" w:styleId="478">
    <w:name w:val="Colorful List - Accent 11"/>
    <w:basedOn w:val="1"/>
    <w:qFormat/>
    <w:uiPriority w:val="34"/>
    <w:pPr>
      <w:ind w:firstLine="420" w:firstLineChars="200"/>
      <w:jc w:val="left"/>
    </w:pPr>
  </w:style>
  <w:style w:type="paragraph" w:customStyle="1" w:styleId="479">
    <w:name w:val="1"/>
    <w:basedOn w:val="1"/>
    <w:qFormat/>
    <w:uiPriority w:val="0"/>
    <w:pPr>
      <w:spacing w:afterLines="50"/>
    </w:pPr>
    <w:rPr>
      <w:rFonts w:ascii="宋体" w:hAnsi="宋体"/>
      <w:b/>
      <w:sz w:val="30"/>
      <w:szCs w:val="21"/>
    </w:rPr>
  </w:style>
  <w:style w:type="paragraph" w:customStyle="1" w:styleId="480">
    <w:name w:val="xl131"/>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pPr>
    <w:rPr>
      <w:rFonts w:ascii="宋体" w:hAnsi="宋体" w:cs="宋体"/>
      <w:b/>
      <w:bCs/>
      <w:kern w:val="0"/>
      <w:sz w:val="20"/>
      <w:szCs w:val="20"/>
    </w:rPr>
  </w:style>
  <w:style w:type="paragraph" w:customStyle="1" w:styleId="481">
    <w:name w:val="Style74"/>
    <w:basedOn w:val="1"/>
    <w:unhideWhenUsed/>
    <w:qFormat/>
    <w:uiPriority w:val="0"/>
    <w:pPr>
      <w:spacing w:line="437" w:lineRule="exact"/>
    </w:pPr>
  </w:style>
  <w:style w:type="paragraph" w:customStyle="1" w:styleId="482">
    <w:name w:val="xl153"/>
    <w:basedOn w:val="1"/>
    <w:qFormat/>
    <w:uiPriority w:val="0"/>
    <w:pPr>
      <w:widowControl/>
      <w:pBdr>
        <w:left w:val="single" w:color="auto" w:sz="4" w:space="0"/>
        <w:right w:val="single" w:color="auto" w:sz="4" w:space="0"/>
      </w:pBdr>
      <w:shd w:val="clear" w:color="auto" w:fill="CC99FF"/>
      <w:spacing w:before="100" w:beforeAutospacing="1" w:after="100" w:afterAutospacing="1"/>
      <w:ind w:firstLine="200" w:firstLineChars="200"/>
      <w:jc w:val="center"/>
    </w:pPr>
    <w:rPr>
      <w:rFonts w:ascii="宋体" w:hAnsi="宋体" w:cs="宋体"/>
      <w:kern w:val="0"/>
      <w:sz w:val="20"/>
      <w:szCs w:val="20"/>
    </w:rPr>
  </w:style>
  <w:style w:type="paragraph" w:customStyle="1" w:styleId="483">
    <w:name w:val="Style62"/>
    <w:basedOn w:val="1"/>
    <w:unhideWhenUsed/>
    <w:qFormat/>
    <w:uiPriority w:val="0"/>
  </w:style>
  <w:style w:type="paragraph" w:customStyle="1" w:styleId="48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85">
    <w:name w:val="Char Char Char"/>
    <w:basedOn w:val="1"/>
    <w:qFormat/>
    <w:uiPriority w:val="0"/>
    <w:rPr>
      <w:rFonts w:ascii="宋体" w:hAnsi="宋体"/>
      <w:b/>
      <w:sz w:val="28"/>
      <w:szCs w:val="28"/>
    </w:rPr>
  </w:style>
  <w:style w:type="paragraph" w:customStyle="1" w:styleId="486">
    <w:name w:val="Style15"/>
    <w:basedOn w:val="1"/>
    <w:unhideWhenUsed/>
    <w:qFormat/>
    <w:uiPriority w:val="0"/>
    <w:pPr>
      <w:spacing w:line="557" w:lineRule="exact"/>
      <w:ind w:firstLine="672"/>
    </w:pPr>
  </w:style>
  <w:style w:type="paragraph" w:customStyle="1" w:styleId="487">
    <w:name w:val="Style26"/>
    <w:basedOn w:val="1"/>
    <w:unhideWhenUsed/>
    <w:qFormat/>
    <w:uiPriority w:val="0"/>
  </w:style>
  <w:style w:type="paragraph" w:customStyle="1" w:styleId="488">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left"/>
      <w:textAlignment w:val="bottom"/>
    </w:pPr>
    <w:rPr>
      <w:kern w:val="0"/>
      <w:sz w:val="20"/>
      <w:szCs w:val="20"/>
    </w:rPr>
  </w:style>
  <w:style w:type="paragraph" w:customStyle="1" w:styleId="489">
    <w:name w:val="xl143"/>
    <w:basedOn w:val="1"/>
    <w:qFormat/>
    <w:uiPriority w:val="0"/>
    <w:pPr>
      <w:widowControl/>
      <w:pBdr>
        <w:top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490">
    <w:name w:val="Style59"/>
    <w:basedOn w:val="1"/>
    <w:unhideWhenUsed/>
    <w:qFormat/>
    <w:uiPriority w:val="0"/>
  </w:style>
  <w:style w:type="paragraph" w:customStyle="1" w:styleId="491">
    <w:name w:val="封面正文"/>
    <w:qFormat/>
    <w:uiPriority w:val="0"/>
    <w:pPr>
      <w:jc w:val="both"/>
    </w:pPr>
    <w:rPr>
      <w:rFonts w:ascii="Times New Roman" w:hAnsi="Times New Roman" w:eastAsia="宋体" w:cs="Times New Roman"/>
      <w:lang w:val="en-US" w:eastAsia="zh-CN" w:bidi="ar-SA"/>
    </w:rPr>
  </w:style>
  <w:style w:type="paragraph" w:customStyle="1" w:styleId="492">
    <w:name w:val="font5"/>
    <w:basedOn w:val="1"/>
    <w:qFormat/>
    <w:uiPriority w:val="0"/>
    <w:pPr>
      <w:widowControl/>
      <w:spacing w:before="100" w:beforeAutospacing="1" w:after="100" w:afterAutospacing="1"/>
      <w:ind w:firstLine="200" w:firstLineChars="200"/>
      <w:jc w:val="left"/>
    </w:pPr>
    <w:rPr>
      <w:rFonts w:ascii="宋体" w:hAnsi="宋体" w:cs="宋体"/>
      <w:kern w:val="0"/>
      <w:sz w:val="18"/>
      <w:szCs w:val="18"/>
    </w:rPr>
  </w:style>
  <w:style w:type="paragraph" w:customStyle="1" w:styleId="49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494">
    <w:name w:val="xl155"/>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495">
    <w:name w:val="Style48"/>
    <w:basedOn w:val="1"/>
    <w:unhideWhenUsed/>
    <w:qFormat/>
    <w:uiPriority w:val="0"/>
    <w:pPr>
      <w:spacing w:line="542" w:lineRule="exact"/>
      <w:jc w:val="right"/>
    </w:pPr>
  </w:style>
  <w:style w:type="paragraph" w:customStyle="1" w:styleId="49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49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498">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ind w:firstLine="200" w:firstLineChars="200"/>
      <w:jc w:val="center"/>
    </w:pPr>
    <w:rPr>
      <w:rFonts w:ascii="宋体" w:hAnsi="宋体" w:cs="宋体"/>
      <w:kern w:val="0"/>
      <w:sz w:val="20"/>
      <w:szCs w:val="20"/>
    </w:rPr>
  </w:style>
  <w:style w:type="paragraph" w:customStyle="1" w:styleId="499">
    <w:name w:val="Char Char1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500">
    <w:name w:val="图号 Char Char Char Char Char Char Char"/>
    <w:basedOn w:val="1"/>
    <w:qFormat/>
    <w:uiPriority w:val="0"/>
    <w:pPr>
      <w:autoSpaceDE w:val="0"/>
      <w:autoSpaceDN w:val="0"/>
      <w:adjustRightInd w:val="0"/>
      <w:spacing w:before="105"/>
      <w:ind w:firstLine="200" w:firstLineChars="200"/>
      <w:jc w:val="center"/>
    </w:pPr>
    <w:rPr>
      <w:rFonts w:ascii="Arial" w:hAnsi="Arial"/>
      <w:kern w:val="0"/>
      <w:sz w:val="18"/>
      <w:szCs w:val="18"/>
    </w:rPr>
  </w:style>
  <w:style w:type="paragraph" w:customStyle="1" w:styleId="501">
    <w:name w:val="Style23"/>
    <w:basedOn w:val="1"/>
    <w:unhideWhenUsed/>
    <w:qFormat/>
    <w:uiPriority w:val="0"/>
  </w:style>
  <w:style w:type="paragraph" w:customStyle="1" w:styleId="502">
    <w:name w:val="Style60"/>
    <w:basedOn w:val="1"/>
    <w:unhideWhenUsed/>
    <w:qFormat/>
    <w:uiPriority w:val="0"/>
    <w:pPr>
      <w:spacing w:line="566" w:lineRule="exact"/>
    </w:pPr>
  </w:style>
  <w:style w:type="paragraph" w:customStyle="1" w:styleId="503">
    <w:name w:val="Char Char Char1 Char Char Char Char Char Char Char Char Char Char Char Char Char Char Char Char Char Char Char Char Char Char"/>
    <w:basedOn w:val="1"/>
    <w:qFormat/>
    <w:uiPriority w:val="0"/>
    <w:rPr>
      <w:rFonts w:ascii="Tahoma" w:hAnsi="Tahoma"/>
      <w:sz w:val="24"/>
      <w:szCs w:val="20"/>
    </w:rPr>
  </w:style>
  <w:style w:type="paragraph" w:customStyle="1" w:styleId="504">
    <w:name w:val="Style21"/>
    <w:basedOn w:val="1"/>
    <w:unhideWhenUsed/>
    <w:qFormat/>
    <w:uiPriority w:val="0"/>
    <w:pPr>
      <w:spacing w:line="566" w:lineRule="exact"/>
      <w:ind w:firstLine="682"/>
    </w:pPr>
  </w:style>
  <w:style w:type="paragraph" w:customStyle="1" w:styleId="5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bottom"/>
    </w:pPr>
    <w:rPr>
      <w:kern w:val="0"/>
      <w:sz w:val="20"/>
      <w:szCs w:val="20"/>
    </w:rPr>
  </w:style>
  <w:style w:type="paragraph" w:customStyle="1" w:styleId="506">
    <w:name w:val="NO3"/>
    <w:basedOn w:val="1"/>
    <w:qFormat/>
    <w:uiPriority w:val="0"/>
    <w:pPr>
      <w:tabs>
        <w:tab w:val="left" w:pos="907"/>
      </w:tabs>
    </w:pPr>
    <w:rPr>
      <w:rFonts w:ascii="宋体" w:hAnsi="宋体"/>
      <w:sz w:val="24"/>
    </w:rPr>
  </w:style>
  <w:style w:type="paragraph" w:customStyle="1" w:styleId="50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b/>
      <w:bCs/>
      <w:kern w:val="0"/>
      <w:sz w:val="20"/>
      <w:szCs w:val="20"/>
    </w:rPr>
  </w:style>
  <w:style w:type="paragraph" w:customStyle="1" w:styleId="508">
    <w:name w:val="列出段落3"/>
    <w:basedOn w:val="1"/>
    <w:qFormat/>
    <w:uiPriority w:val="0"/>
    <w:pPr>
      <w:ind w:firstLine="420" w:firstLineChars="200"/>
      <w:jc w:val="left"/>
    </w:pPr>
    <w:rPr>
      <w:rFonts w:ascii="Calibri" w:hAnsi="Calibri" w:cs="黑体"/>
      <w:szCs w:val="22"/>
    </w:rPr>
  </w:style>
  <w:style w:type="paragraph" w:customStyle="1" w:styleId="509">
    <w:name w:val="xl164"/>
    <w:basedOn w:val="1"/>
    <w:qFormat/>
    <w:uiPriority w:val="0"/>
    <w:pPr>
      <w:widowControl/>
      <w:pBdr>
        <w:top w:val="single" w:color="auto" w:sz="4" w:space="0"/>
        <w:left w:val="single" w:color="auto" w:sz="4" w:space="0"/>
        <w:bottom w:val="single" w:color="auto" w:sz="4" w:space="0"/>
      </w:pBdr>
      <w:shd w:val="clear" w:color="auto" w:fill="FF0000"/>
      <w:spacing w:before="100" w:beforeAutospacing="1" w:after="100" w:afterAutospacing="1"/>
      <w:ind w:firstLine="200" w:firstLineChars="200"/>
      <w:jc w:val="left"/>
    </w:pPr>
    <w:rPr>
      <w:rFonts w:ascii="宋体" w:hAnsi="宋体" w:cs="宋体"/>
      <w:kern w:val="0"/>
      <w:sz w:val="20"/>
      <w:szCs w:val="20"/>
    </w:rPr>
  </w:style>
  <w:style w:type="paragraph" w:customStyle="1" w:styleId="51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11">
    <w:name w:val="Style36"/>
    <w:basedOn w:val="1"/>
    <w:unhideWhenUsed/>
    <w:qFormat/>
    <w:uiPriority w:val="0"/>
  </w:style>
  <w:style w:type="paragraph" w:customStyle="1" w:styleId="512">
    <w:name w:val="reader-word-layer"/>
    <w:basedOn w:val="1"/>
    <w:qFormat/>
    <w:uiPriority w:val="0"/>
    <w:pPr>
      <w:widowControl/>
      <w:spacing w:before="100" w:beforeAutospacing="1" w:after="100" w:afterAutospacing="1"/>
      <w:ind w:firstLine="200" w:firstLineChars="200"/>
      <w:jc w:val="left"/>
    </w:pPr>
    <w:rPr>
      <w:rFonts w:ascii="宋体" w:hAnsi="宋体" w:cs="宋体"/>
      <w:kern w:val="0"/>
      <w:sz w:val="24"/>
    </w:rPr>
  </w:style>
  <w:style w:type="paragraph" w:customStyle="1" w:styleId="513">
    <w:name w:val="表格A"/>
    <w:basedOn w:val="192"/>
    <w:next w:val="25"/>
    <w:qFormat/>
    <w:uiPriority w:val="0"/>
    <w:pPr>
      <w:overflowPunct w:val="0"/>
      <w:autoSpaceDE w:val="0"/>
      <w:autoSpaceDN w:val="0"/>
      <w:adjustRightInd w:val="0"/>
      <w:spacing w:line="240" w:lineRule="auto"/>
      <w:ind w:firstLine="0" w:firstLineChars="0"/>
    </w:pPr>
    <w:rPr>
      <w:rFonts w:ascii="宋体" w:hAnsi="Times New Roman" w:eastAsia="宋体"/>
      <w:bCs w:val="0"/>
      <w:kern w:val="0"/>
      <w:sz w:val="21"/>
      <w:szCs w:val="21"/>
    </w:rPr>
  </w:style>
  <w:style w:type="paragraph" w:customStyle="1" w:styleId="514">
    <w:name w:val="Style64"/>
    <w:basedOn w:val="1"/>
    <w:unhideWhenUsed/>
    <w:qFormat/>
    <w:uiPriority w:val="0"/>
  </w:style>
  <w:style w:type="paragraph" w:customStyle="1" w:styleId="515">
    <w:name w:val="Char Char Char Char Char Char1 Char Char Char Char"/>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516">
    <w:name w:val="B2"/>
    <w:basedOn w:val="1"/>
    <w:qFormat/>
    <w:uiPriority w:val="0"/>
    <w:pPr>
      <w:widowControl/>
      <w:adjustRightInd w:val="0"/>
      <w:snapToGrid w:val="0"/>
      <w:spacing w:after="120" w:line="240" w:lineRule="auto"/>
      <w:ind w:left="374"/>
      <w:jc w:val="left"/>
    </w:pPr>
    <w:rPr>
      <w:kern w:val="0"/>
      <w:sz w:val="22"/>
      <w:szCs w:val="20"/>
    </w:rPr>
  </w:style>
  <w:style w:type="paragraph" w:customStyle="1" w:styleId="517">
    <w:name w:val="xl166"/>
    <w:basedOn w:val="1"/>
    <w:qFormat/>
    <w:uiPriority w:val="0"/>
    <w:pPr>
      <w:widowControl/>
      <w:pBdr>
        <w:left w:val="single" w:color="auto" w:sz="4" w:space="0"/>
      </w:pBdr>
      <w:shd w:val="clear" w:color="auto" w:fill="CCFFFF"/>
      <w:spacing w:before="100" w:beforeAutospacing="1" w:after="100" w:afterAutospacing="1"/>
      <w:ind w:firstLine="200" w:firstLineChars="200"/>
      <w:jc w:val="center"/>
    </w:pPr>
    <w:rPr>
      <w:rFonts w:ascii="宋体" w:hAnsi="宋体" w:cs="宋体"/>
      <w:kern w:val="0"/>
      <w:sz w:val="20"/>
      <w:szCs w:val="20"/>
    </w:rPr>
  </w:style>
  <w:style w:type="paragraph" w:customStyle="1" w:styleId="518">
    <w:name w:val="Char Char1 Char Char Char Char Char Char Char"/>
    <w:basedOn w:val="1"/>
    <w:qFormat/>
    <w:uiPriority w:val="0"/>
    <w:pPr>
      <w:widowControl/>
      <w:spacing w:after="160" w:line="240" w:lineRule="exact"/>
      <w:jc w:val="left"/>
    </w:pPr>
  </w:style>
  <w:style w:type="paragraph" w:customStyle="1" w:styleId="519">
    <w:name w:val="表格正文"/>
    <w:basedOn w:val="1"/>
    <w:qFormat/>
    <w:uiPriority w:val="0"/>
    <w:pPr>
      <w:jc w:val="left"/>
    </w:pPr>
    <w:rPr>
      <w:rFonts w:ascii="仿宋_GB2312" w:hAnsi="Calibri" w:eastAsia="仿宋_GB2312" w:cs="宋体"/>
      <w:color w:val="000000"/>
      <w:sz w:val="28"/>
      <w:szCs w:val="20"/>
    </w:rPr>
  </w:style>
  <w:style w:type="paragraph" w:customStyle="1" w:styleId="520">
    <w:name w:val="Char Char1 Char Char Char Char Char Char"/>
    <w:basedOn w:val="1"/>
    <w:qFormat/>
    <w:uiPriority w:val="0"/>
    <w:pPr>
      <w:widowControl/>
      <w:overflowPunct w:val="0"/>
      <w:spacing w:after="160" w:line="240" w:lineRule="exact"/>
      <w:ind w:firstLine="200" w:firstLineChars="200"/>
      <w:jc w:val="left"/>
    </w:pPr>
    <w:rPr>
      <w:rFonts w:ascii="Arial Unicode MS" w:hAnsi="Arial Unicode MS" w:eastAsia="Arial Unicode MS"/>
      <w:szCs w:val="20"/>
    </w:rPr>
  </w:style>
  <w:style w:type="paragraph" w:customStyle="1" w:styleId="521">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ind w:firstLine="200" w:firstLineChars="200"/>
      <w:jc w:val="center"/>
    </w:pPr>
    <w:rPr>
      <w:rFonts w:ascii="宋体" w:hAnsi="宋体" w:cs="宋体"/>
      <w:color w:val="FF0000"/>
      <w:kern w:val="0"/>
      <w:sz w:val="20"/>
      <w:szCs w:val="20"/>
    </w:rPr>
  </w:style>
  <w:style w:type="paragraph" w:customStyle="1" w:styleId="522">
    <w:name w:val="Style76"/>
    <w:basedOn w:val="1"/>
    <w:unhideWhenUsed/>
    <w:qFormat/>
    <w:uiPriority w:val="0"/>
  </w:style>
  <w:style w:type="paragraph" w:customStyle="1" w:styleId="523">
    <w:name w:val="表格标题"/>
    <w:basedOn w:val="519"/>
    <w:qFormat/>
    <w:uiPriority w:val="0"/>
    <w:pPr>
      <w:jc w:val="center"/>
    </w:pPr>
    <w:rPr>
      <w:b/>
      <w:bCs/>
    </w:rPr>
  </w:style>
  <w:style w:type="paragraph" w:customStyle="1" w:styleId="524">
    <w:name w:val="ee"/>
    <w:basedOn w:val="1"/>
    <w:qFormat/>
    <w:uiPriority w:val="0"/>
    <w:pPr>
      <w:widowControl/>
      <w:spacing w:before="100" w:beforeAutospacing="1" w:after="100" w:afterAutospacing="1" w:line="300" w:lineRule="atLeast"/>
      <w:ind w:firstLine="200" w:firstLineChars="200"/>
      <w:jc w:val="left"/>
    </w:pPr>
    <w:rPr>
      <w:rFonts w:hint="eastAsia" w:ascii="宋体" w:hAnsi="宋体"/>
      <w:color w:val="000000"/>
      <w:kern w:val="0"/>
      <w:sz w:val="18"/>
      <w:szCs w:val="18"/>
    </w:rPr>
  </w:style>
  <w:style w:type="paragraph" w:customStyle="1" w:styleId="525">
    <w:name w:val="内容with编号"/>
    <w:basedOn w:val="1"/>
    <w:qFormat/>
    <w:uiPriority w:val="0"/>
    <w:pPr>
      <w:widowControl/>
      <w:numPr>
        <w:ilvl w:val="0"/>
        <w:numId w:val="10"/>
      </w:numPr>
      <w:tabs>
        <w:tab w:val="left" w:pos="987"/>
        <w:tab w:val="clear" w:pos="840"/>
      </w:tabs>
    </w:pPr>
    <w:rPr>
      <w:rFonts w:ascii="宋体"/>
      <w:kern w:val="0"/>
      <w:sz w:val="24"/>
      <w:szCs w:val="20"/>
    </w:rPr>
  </w:style>
  <w:style w:type="paragraph" w:customStyle="1" w:styleId="526">
    <w:name w:val="Style72"/>
    <w:basedOn w:val="1"/>
    <w:unhideWhenUsed/>
    <w:qFormat/>
    <w:uiPriority w:val="0"/>
  </w:style>
  <w:style w:type="paragraph" w:customStyle="1" w:styleId="527">
    <w:name w:val="Style4"/>
    <w:basedOn w:val="1"/>
    <w:unhideWhenUsed/>
    <w:qFormat/>
    <w:uiPriority w:val="0"/>
  </w:style>
  <w:style w:type="paragraph" w:customStyle="1" w:styleId="528">
    <w:name w:val="标题 3 + 右侧:  1 字符1"/>
    <w:basedOn w:val="5"/>
    <w:qFormat/>
    <w:uiPriority w:val="0"/>
    <w:pPr>
      <w:tabs>
        <w:tab w:val="left" w:pos="720"/>
      </w:tabs>
      <w:spacing w:line="415" w:lineRule="auto"/>
      <w:ind w:left="1522" w:hanging="1102"/>
      <w:jc w:val="both"/>
    </w:pPr>
    <w:rPr>
      <w:rFonts w:cs="宋体"/>
      <w:sz w:val="32"/>
      <w:szCs w:val="20"/>
    </w:rPr>
  </w:style>
  <w:style w:type="paragraph" w:customStyle="1" w:styleId="5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30">
    <w:name w:val="xl157"/>
    <w:basedOn w:val="1"/>
    <w:qFormat/>
    <w:uiPriority w:val="0"/>
    <w:pPr>
      <w:widowControl/>
      <w:pBdr>
        <w:top w:val="single" w:color="auto" w:sz="4" w:space="0"/>
        <w:left w:val="single" w:color="auto" w:sz="4" w:space="0"/>
        <w:right w:val="single" w:color="auto" w:sz="4" w:space="0"/>
      </w:pBdr>
      <w:shd w:val="clear" w:color="auto" w:fill="00FF00"/>
      <w:spacing w:before="100" w:beforeAutospacing="1" w:after="100" w:afterAutospacing="1"/>
      <w:ind w:firstLine="200" w:firstLineChars="200"/>
      <w:jc w:val="left"/>
    </w:pPr>
    <w:rPr>
      <w:rFonts w:ascii="宋体" w:hAnsi="宋体" w:cs="宋体"/>
      <w:kern w:val="0"/>
      <w:sz w:val="20"/>
      <w:szCs w:val="20"/>
    </w:rPr>
  </w:style>
  <w:style w:type="paragraph" w:customStyle="1" w:styleId="531">
    <w:name w:val="样式 标题 3sect1.2.3h33H3Heading 3 - oldCTLevel 3 Topic Headi..."/>
    <w:basedOn w:val="5"/>
    <w:semiHidden/>
    <w:qFormat/>
    <w:uiPriority w:val="0"/>
    <w:pPr>
      <w:numPr>
        <w:ilvl w:val="0"/>
        <w:numId w:val="11"/>
      </w:numPr>
      <w:tabs>
        <w:tab w:val="left" w:pos="0"/>
        <w:tab w:val="left" w:pos="720"/>
      </w:tabs>
      <w:adjustRightInd w:val="0"/>
      <w:spacing w:line="415" w:lineRule="auto"/>
      <w:ind w:hanging="1620"/>
      <w:textAlignment w:val="baseline"/>
    </w:pPr>
    <w:rPr>
      <w:rFonts w:ascii="Tahoma" w:hAnsi="Tahoma" w:cs="Tahoma"/>
      <w:color w:val="000000"/>
      <w:kern w:val="24"/>
      <w:sz w:val="32"/>
    </w:rPr>
  </w:style>
  <w:style w:type="paragraph" w:customStyle="1" w:styleId="532">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ind w:firstLine="200" w:firstLineChars="200"/>
      <w:jc w:val="center"/>
    </w:pPr>
    <w:rPr>
      <w:rFonts w:ascii="宋体" w:hAnsi="宋体" w:cs="宋体"/>
      <w:kern w:val="0"/>
      <w:sz w:val="20"/>
      <w:szCs w:val="20"/>
    </w:rPr>
  </w:style>
  <w:style w:type="paragraph" w:customStyle="1" w:styleId="533">
    <w:name w:val="样式 正文缩进正文（首行缩进两字）表正文正文非缩进Normal Indent特点Alt+Xmr正文缩进正文缩进W..."/>
    <w:basedOn w:val="1"/>
    <w:qFormat/>
    <w:uiPriority w:val="0"/>
    <w:pPr>
      <w:adjustRightInd w:val="0"/>
      <w:spacing w:line="312" w:lineRule="auto"/>
      <w:textAlignment w:val="baseline"/>
    </w:pPr>
    <w:rPr>
      <w:rFonts w:ascii="宋体" w:hAnsi="宋体"/>
      <w:bCs/>
      <w:sz w:val="24"/>
    </w:rPr>
  </w:style>
  <w:style w:type="paragraph" w:customStyle="1" w:styleId="534">
    <w:name w:val="报告正文"/>
    <w:basedOn w:val="1"/>
    <w:qFormat/>
    <w:uiPriority w:val="0"/>
    <w:pPr>
      <w:widowControl/>
      <w:autoSpaceDE w:val="0"/>
      <w:autoSpaceDN w:val="0"/>
      <w:ind w:firstLine="200" w:firstLineChars="200"/>
      <w:jc w:val="left"/>
    </w:pPr>
    <w:rPr>
      <w:kern w:val="0"/>
      <w:szCs w:val="20"/>
    </w:rPr>
  </w:style>
  <w:style w:type="paragraph" w:customStyle="1" w:styleId="535">
    <w:name w:val="_Style 39"/>
    <w:basedOn w:val="352"/>
    <w:qFormat/>
    <w:uiPriority w:val="0"/>
  </w:style>
  <w:style w:type="paragraph" w:customStyle="1" w:styleId="536">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ind w:firstLine="200" w:firstLineChars="200"/>
      <w:jc w:val="left"/>
    </w:pPr>
    <w:rPr>
      <w:kern w:val="0"/>
      <w:sz w:val="20"/>
      <w:szCs w:val="20"/>
    </w:rPr>
  </w:style>
  <w:style w:type="paragraph" w:customStyle="1" w:styleId="537">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ind w:firstLine="200" w:firstLineChars="200"/>
      <w:jc w:val="left"/>
    </w:pPr>
    <w:rPr>
      <w:kern w:val="0"/>
      <w:sz w:val="20"/>
      <w:szCs w:val="20"/>
    </w:rPr>
  </w:style>
  <w:style w:type="paragraph" w:customStyle="1" w:styleId="538">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center"/>
    </w:pPr>
    <w:rPr>
      <w:rFonts w:ascii="宋体" w:hAnsi="宋体" w:cs="宋体"/>
      <w:kern w:val="0"/>
      <w:sz w:val="20"/>
      <w:szCs w:val="20"/>
    </w:rPr>
  </w:style>
  <w:style w:type="paragraph" w:customStyle="1" w:styleId="539">
    <w:name w:val="xl152"/>
    <w:basedOn w:val="1"/>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ind w:firstLine="200" w:firstLineChars="200"/>
      <w:jc w:val="center"/>
    </w:pPr>
    <w:rPr>
      <w:rFonts w:ascii="宋体" w:hAnsi="宋体" w:cs="宋体"/>
      <w:kern w:val="0"/>
      <w:sz w:val="20"/>
      <w:szCs w:val="20"/>
    </w:rPr>
  </w:style>
  <w:style w:type="paragraph" w:customStyle="1" w:styleId="54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center"/>
    </w:pPr>
    <w:rPr>
      <w:rFonts w:ascii="宋体" w:hAnsi="宋体" w:cs="宋体"/>
      <w:kern w:val="0"/>
      <w:sz w:val="20"/>
      <w:szCs w:val="20"/>
    </w:rPr>
  </w:style>
  <w:style w:type="paragraph" w:customStyle="1" w:styleId="541">
    <w:name w:val="样式 小四 行距: 1.5 倍行距"/>
    <w:basedOn w:val="1"/>
    <w:qFormat/>
    <w:uiPriority w:val="0"/>
    <w:pPr>
      <w:spacing w:line="312" w:lineRule="auto"/>
    </w:pPr>
    <w:rPr>
      <w:rFonts w:cs="宋体"/>
      <w:sz w:val="24"/>
      <w:szCs w:val="20"/>
    </w:rPr>
  </w:style>
  <w:style w:type="paragraph" w:customStyle="1" w:styleId="542">
    <w:name w:val="Style13"/>
    <w:basedOn w:val="1"/>
    <w:unhideWhenUsed/>
    <w:qFormat/>
    <w:uiPriority w:val="0"/>
  </w:style>
  <w:style w:type="paragraph" w:customStyle="1" w:styleId="543">
    <w:name w:val="ecxmsonormal"/>
    <w:basedOn w:val="1"/>
    <w:qFormat/>
    <w:uiPriority w:val="0"/>
    <w:pPr>
      <w:widowControl/>
      <w:spacing w:after="324"/>
      <w:ind w:firstLine="200" w:firstLineChars="200"/>
      <w:jc w:val="left"/>
    </w:pPr>
    <w:rPr>
      <w:rFonts w:ascii="宋体" w:hAnsi="宋体" w:cs="宋体"/>
      <w:kern w:val="0"/>
      <w:sz w:val="24"/>
    </w:rPr>
  </w:style>
  <w:style w:type="paragraph" w:customStyle="1" w:styleId="544">
    <w:name w:val="表标题行"/>
    <w:basedOn w:val="1"/>
    <w:qFormat/>
    <w:uiPriority w:val="0"/>
    <w:pPr>
      <w:ind w:firstLine="200" w:firstLineChars="200"/>
      <w:jc w:val="center"/>
    </w:pPr>
    <w:rPr>
      <w:rFonts w:ascii="宋体" w:hAnsi="宋体" w:eastAsia="方正黑体_GBK" w:cs="宋体"/>
      <w:color w:val="000000"/>
      <w:szCs w:val="20"/>
    </w:rPr>
  </w:style>
  <w:style w:type="paragraph" w:customStyle="1" w:styleId="545">
    <w:name w:val="light2"/>
    <w:basedOn w:val="1"/>
    <w:qFormat/>
    <w:uiPriority w:val="0"/>
    <w:pPr>
      <w:keepNext/>
      <w:keepLines/>
      <w:numPr>
        <w:ilvl w:val="1"/>
        <w:numId w:val="3"/>
      </w:numPr>
      <w:spacing w:before="480" w:after="240"/>
      <w:outlineLvl w:val="1"/>
    </w:pPr>
    <w:rPr>
      <w:rFonts w:ascii="宋体" w:hAnsi="宋体"/>
      <w:b/>
      <w:bCs/>
      <w:sz w:val="32"/>
      <w:szCs w:val="32"/>
    </w:rPr>
  </w:style>
  <w:style w:type="paragraph" w:customStyle="1" w:styleId="546">
    <w:name w:val="xl160"/>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ind w:firstLine="200" w:firstLineChars="200"/>
      <w:jc w:val="center"/>
    </w:pPr>
    <w:rPr>
      <w:rFonts w:ascii="宋体" w:hAnsi="宋体" w:cs="宋体"/>
      <w:kern w:val="0"/>
      <w:sz w:val="20"/>
      <w:szCs w:val="20"/>
    </w:rPr>
  </w:style>
  <w:style w:type="paragraph" w:customStyle="1" w:styleId="547">
    <w:name w:val="xl136"/>
    <w:basedOn w:val="1"/>
    <w:qFormat/>
    <w:uiPriority w:val="0"/>
    <w:pPr>
      <w:widowControl/>
      <w:pBdr>
        <w:top w:val="single" w:color="auto" w:sz="4" w:space="0"/>
        <w:bottom w:val="single" w:color="auto" w:sz="4" w:space="0"/>
        <w:right w:val="single" w:color="auto" w:sz="4" w:space="0"/>
      </w:pBdr>
      <w:shd w:val="clear" w:color="auto" w:fill="00FF00"/>
      <w:spacing w:before="100" w:beforeAutospacing="1" w:after="100" w:afterAutospacing="1"/>
      <w:ind w:firstLine="200" w:firstLineChars="200"/>
      <w:jc w:val="left"/>
    </w:pPr>
    <w:rPr>
      <w:rFonts w:ascii="宋体" w:hAnsi="宋体" w:cs="宋体"/>
      <w:kern w:val="0"/>
      <w:sz w:val="20"/>
      <w:szCs w:val="20"/>
    </w:rPr>
  </w:style>
  <w:style w:type="paragraph" w:customStyle="1" w:styleId="548">
    <w:name w:val="xl128"/>
    <w:basedOn w:val="1"/>
    <w:qFormat/>
    <w:uiPriority w:val="0"/>
    <w:pPr>
      <w:widowControl/>
      <w:pBdr>
        <w:left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49">
    <w:name w:val="栖霞5级标题"/>
    <w:basedOn w:val="7"/>
    <w:qFormat/>
    <w:uiPriority w:val="0"/>
    <w:pPr>
      <w:widowControl/>
      <w:tabs>
        <w:tab w:val="left" w:pos="0"/>
        <w:tab w:val="left" w:pos="360"/>
      </w:tabs>
      <w:adjustRightInd/>
      <w:spacing w:beforeLines="50" w:afterLines="50" w:line="240" w:lineRule="auto"/>
      <w:ind w:left="100" w:leftChars="100" w:right="100" w:firstLine="200" w:firstLineChars="200"/>
      <w:jc w:val="both"/>
      <w:textAlignment w:val="auto"/>
    </w:pPr>
    <w:rPr>
      <w:rFonts w:ascii="微软雅黑" w:hAnsi="微软雅黑" w:eastAsia="微软雅黑" w:cs="黑体"/>
      <w:kern w:val="44"/>
      <w:sz w:val="24"/>
      <w:szCs w:val="24"/>
    </w:rPr>
  </w:style>
  <w:style w:type="paragraph" w:customStyle="1" w:styleId="5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5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bottom"/>
    </w:pPr>
    <w:rPr>
      <w:rFonts w:ascii="宋体" w:hAnsi="宋体" w:cs="宋体"/>
      <w:color w:val="FF0000"/>
      <w:kern w:val="0"/>
      <w:sz w:val="20"/>
      <w:szCs w:val="20"/>
    </w:rPr>
  </w:style>
  <w:style w:type="paragraph" w:customStyle="1" w:styleId="552">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left"/>
    </w:pPr>
    <w:rPr>
      <w:kern w:val="0"/>
      <w:sz w:val="20"/>
      <w:szCs w:val="20"/>
    </w:rPr>
  </w:style>
  <w:style w:type="paragraph" w:customStyle="1" w:styleId="55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54">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left"/>
      <w:textAlignment w:val="bottom"/>
    </w:pPr>
    <w:rPr>
      <w:kern w:val="0"/>
      <w:sz w:val="20"/>
      <w:szCs w:val="20"/>
    </w:rPr>
  </w:style>
  <w:style w:type="paragraph" w:customStyle="1" w:styleId="555">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center"/>
    </w:pPr>
    <w:rPr>
      <w:rFonts w:ascii="宋体" w:hAnsi="宋体" w:cs="宋体"/>
      <w:kern w:val="0"/>
      <w:sz w:val="20"/>
      <w:szCs w:val="20"/>
    </w:rPr>
  </w:style>
  <w:style w:type="paragraph" w:customStyle="1" w:styleId="556">
    <w:name w:val="font10"/>
    <w:basedOn w:val="1"/>
    <w:qFormat/>
    <w:uiPriority w:val="0"/>
    <w:pPr>
      <w:widowControl/>
      <w:spacing w:before="100" w:beforeAutospacing="1" w:after="100" w:afterAutospacing="1"/>
      <w:ind w:firstLine="200" w:firstLineChars="200"/>
      <w:jc w:val="left"/>
    </w:pPr>
    <w:rPr>
      <w:rFonts w:ascii="宋体" w:hAnsi="宋体" w:cs="宋体"/>
      <w:b/>
      <w:bCs/>
      <w:color w:val="000000"/>
      <w:kern w:val="0"/>
      <w:sz w:val="18"/>
      <w:szCs w:val="18"/>
    </w:rPr>
  </w:style>
  <w:style w:type="paragraph" w:customStyle="1" w:styleId="557">
    <w:name w:val="符号3-zy"/>
    <w:basedOn w:val="1"/>
    <w:qFormat/>
    <w:uiPriority w:val="0"/>
    <w:pPr>
      <w:numPr>
        <w:ilvl w:val="0"/>
        <w:numId w:val="12"/>
      </w:numPr>
      <w:tabs>
        <w:tab w:val="left" w:pos="907"/>
      </w:tabs>
      <w:ind w:firstLine="200" w:firstLineChars="200"/>
    </w:pPr>
    <w:rPr>
      <w:rFonts w:ascii="Calibri" w:hAnsi="宋体"/>
      <w:sz w:val="24"/>
      <w:szCs w:val="22"/>
    </w:rPr>
  </w:style>
  <w:style w:type="paragraph" w:customStyle="1" w:styleId="558">
    <w:name w:val="样式 标题 5H5Appendix A  Heading 5dashdsddPIM 55h5Roman lis..."/>
    <w:basedOn w:val="7"/>
    <w:qFormat/>
    <w:uiPriority w:val="0"/>
    <w:pPr>
      <w:numPr>
        <w:ilvl w:val="4"/>
        <w:numId w:val="13"/>
      </w:numPr>
      <w:spacing w:before="120" w:after="60" w:line="360" w:lineRule="auto"/>
    </w:pPr>
    <w:rPr>
      <w:rFonts w:ascii="Arial" w:hAnsi="Arial" w:eastAsia="楷体_GB2312"/>
      <w:sz w:val="24"/>
      <w:szCs w:val="20"/>
    </w:rPr>
  </w:style>
  <w:style w:type="paragraph" w:customStyle="1" w:styleId="559">
    <w:name w:val="Style16"/>
    <w:basedOn w:val="1"/>
    <w:unhideWhenUsed/>
    <w:qFormat/>
    <w:uiPriority w:val="0"/>
    <w:pPr>
      <w:jc w:val="right"/>
    </w:pPr>
  </w:style>
  <w:style w:type="paragraph" w:customStyle="1" w:styleId="560">
    <w:name w:val="TableContent"/>
    <w:qFormat/>
    <w:uiPriority w:val="1"/>
    <w:pPr>
      <w:spacing w:before="40" w:after="40"/>
      <w:jc w:val="both"/>
    </w:pPr>
    <w:rPr>
      <w:rFonts w:ascii="Arial" w:hAnsi="Arial" w:eastAsia="宋体" w:cs="Times New Roman"/>
      <w:kern w:val="44"/>
      <w:sz w:val="18"/>
      <w:szCs w:val="44"/>
      <w:lang w:val="en-US" w:eastAsia="zh-CN" w:bidi="ar-SA"/>
    </w:rPr>
  </w:style>
  <w:style w:type="paragraph" w:customStyle="1" w:styleId="561">
    <w:name w:val="Style41"/>
    <w:basedOn w:val="1"/>
    <w:unhideWhenUsed/>
    <w:qFormat/>
    <w:uiPriority w:val="0"/>
    <w:pPr>
      <w:spacing w:line="542" w:lineRule="exact"/>
      <w:ind w:firstLine="125"/>
    </w:pPr>
  </w:style>
  <w:style w:type="paragraph" w:customStyle="1" w:styleId="562">
    <w:name w:val="列表（编号二级）（绿盟科技）"/>
    <w:basedOn w:val="1"/>
    <w:qFormat/>
    <w:uiPriority w:val="0"/>
    <w:pPr>
      <w:widowControl/>
      <w:numPr>
        <w:ilvl w:val="1"/>
        <w:numId w:val="14"/>
      </w:numPr>
      <w:spacing w:line="300" w:lineRule="auto"/>
      <w:ind w:firstLine="0"/>
      <w:jc w:val="left"/>
    </w:pPr>
    <w:rPr>
      <w:rFonts w:ascii="Arial" w:hAnsi="Arial"/>
      <w:kern w:val="0"/>
      <w:szCs w:val="21"/>
    </w:rPr>
  </w:style>
  <w:style w:type="paragraph" w:customStyle="1" w:styleId="563">
    <w:name w:val="xl172"/>
    <w:basedOn w:val="1"/>
    <w:qFormat/>
    <w:uiPriority w:val="0"/>
    <w:pPr>
      <w:widowControl/>
      <w:pBdr>
        <w:top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564">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565">
    <w:name w:val="样式 样式 标题 1H1propapp heading 1app heading 11app heading 12app ......"/>
    <w:basedOn w:val="566"/>
    <w:qFormat/>
    <w:uiPriority w:val="0"/>
    <w:pPr>
      <w:pageBreakBefore w:val="0"/>
      <w:numPr>
        <w:numId w:val="0"/>
      </w:numPr>
      <w:spacing w:before="360" w:line="360" w:lineRule="auto"/>
    </w:pPr>
    <w:rPr>
      <w:color w:val="auto"/>
      <w:sz w:val="32"/>
      <w:szCs w:val="32"/>
    </w:rPr>
  </w:style>
  <w:style w:type="paragraph" w:customStyle="1" w:styleId="566">
    <w:name w:val="样式 标题 1H1propapp heading 1app heading 11app heading 12app ..."/>
    <w:basedOn w:val="3"/>
    <w:qFormat/>
    <w:uiPriority w:val="0"/>
    <w:pPr>
      <w:keepLines/>
      <w:pageBreakBefore/>
      <w:numPr>
        <w:ilvl w:val="0"/>
        <w:numId w:val="13"/>
      </w:numPr>
      <w:spacing w:before="340" w:after="330" w:line="578" w:lineRule="auto"/>
    </w:pPr>
    <w:rPr>
      <w:color w:val="FF0000"/>
      <w:kern w:val="44"/>
      <w:sz w:val="44"/>
    </w:rPr>
  </w:style>
  <w:style w:type="paragraph" w:customStyle="1" w:styleId="567">
    <w:name w:val="xl158"/>
    <w:basedOn w:val="1"/>
    <w:qFormat/>
    <w:uiPriority w:val="0"/>
    <w:pPr>
      <w:widowControl/>
      <w:pBdr>
        <w:left w:val="single" w:color="auto" w:sz="4" w:space="0"/>
        <w:right w:val="single" w:color="auto" w:sz="4" w:space="0"/>
      </w:pBdr>
      <w:shd w:val="clear" w:color="auto" w:fill="00FF00"/>
      <w:spacing w:before="100" w:beforeAutospacing="1" w:after="100" w:afterAutospacing="1"/>
      <w:ind w:firstLine="200" w:firstLineChars="200"/>
      <w:jc w:val="left"/>
    </w:pPr>
    <w:rPr>
      <w:rFonts w:ascii="宋体" w:hAnsi="宋体" w:cs="宋体"/>
      <w:kern w:val="0"/>
      <w:sz w:val="20"/>
      <w:szCs w:val="20"/>
    </w:rPr>
  </w:style>
  <w:style w:type="paragraph" w:customStyle="1" w:styleId="568">
    <w:name w:val="普通 (Web)"/>
    <w:basedOn w:val="1"/>
    <w:qFormat/>
    <w:uiPriority w:val="0"/>
    <w:pPr>
      <w:widowControl/>
      <w:spacing w:before="100" w:after="100" w:line="432" w:lineRule="atLeast"/>
      <w:ind w:firstLine="810" w:firstLineChars="200"/>
      <w:jc w:val="left"/>
    </w:pPr>
    <w:rPr>
      <w:rFonts w:ascii="仿宋_GB2312" w:hAnsi="Verdana" w:eastAsia="仿宋_GB2312"/>
      <w:spacing w:val="30"/>
      <w:kern w:val="0"/>
      <w:sz w:val="28"/>
      <w:szCs w:val="20"/>
    </w:rPr>
  </w:style>
  <w:style w:type="paragraph" w:customStyle="1" w:styleId="56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570">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ind w:firstLine="200" w:firstLineChars="200"/>
      <w:jc w:val="center"/>
    </w:pPr>
    <w:rPr>
      <w:rFonts w:ascii="宋体" w:hAnsi="宋体" w:cs="宋体"/>
      <w:kern w:val="0"/>
      <w:sz w:val="20"/>
      <w:szCs w:val="20"/>
    </w:rPr>
  </w:style>
  <w:style w:type="paragraph" w:customStyle="1" w:styleId="571">
    <w:name w:val="xl139"/>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57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kern w:val="0"/>
      <w:sz w:val="20"/>
      <w:szCs w:val="20"/>
    </w:rPr>
  </w:style>
  <w:style w:type="paragraph" w:customStyle="1" w:styleId="573">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ind w:firstLine="200" w:firstLineChars="200"/>
      <w:jc w:val="center"/>
    </w:pPr>
    <w:rPr>
      <w:rFonts w:ascii="宋体" w:hAnsi="宋体" w:cs="宋体"/>
      <w:kern w:val="0"/>
      <w:sz w:val="20"/>
      <w:szCs w:val="20"/>
    </w:rPr>
  </w:style>
  <w:style w:type="paragraph" w:customStyle="1" w:styleId="574">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75">
    <w:name w:val="样式 T4 + 居中"/>
    <w:basedOn w:val="334"/>
    <w:qFormat/>
    <w:uiPriority w:val="0"/>
    <w:pPr>
      <w:numPr>
        <w:ilvl w:val="7"/>
        <w:numId w:val="15"/>
      </w:numPr>
      <w:ind w:firstLine="0" w:firstLineChars="0"/>
      <w:jc w:val="center"/>
    </w:pPr>
    <w:rPr>
      <w:rFonts w:ascii="Times New Roman" w:hAnsi="Times New Roman" w:cs="宋体"/>
    </w:rPr>
  </w:style>
  <w:style w:type="paragraph" w:customStyle="1" w:styleId="576">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5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78">
    <w:name w:val="表格样式 宋体 五号 加粗 黑色 行距: 单倍行距 首行缩进:  0 字符"/>
    <w:basedOn w:val="1"/>
    <w:qFormat/>
    <w:uiPriority w:val="0"/>
    <w:pPr>
      <w:spacing w:line="240" w:lineRule="auto"/>
    </w:pPr>
    <w:rPr>
      <w:rFonts w:ascii="宋体" w:hAnsi="宋体" w:cs="宋体"/>
      <w:b/>
      <w:bCs/>
      <w:color w:val="000000"/>
      <w:kern w:val="0"/>
      <w:szCs w:val="20"/>
    </w:rPr>
  </w:style>
  <w:style w:type="paragraph" w:customStyle="1" w:styleId="57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580">
    <w:name w:val="Style53"/>
    <w:basedOn w:val="1"/>
    <w:unhideWhenUsed/>
    <w:qFormat/>
    <w:uiPriority w:val="0"/>
    <w:pPr>
      <w:spacing w:line="533" w:lineRule="exact"/>
      <w:ind w:firstLine="581"/>
    </w:pPr>
  </w:style>
  <w:style w:type="paragraph" w:customStyle="1" w:styleId="581">
    <w:name w:val="hidden"/>
    <w:basedOn w:val="1"/>
    <w:qFormat/>
    <w:uiPriority w:val="0"/>
    <w:pPr>
      <w:widowControl/>
      <w:spacing w:before="100" w:beforeAutospacing="1" w:after="100" w:afterAutospacing="1"/>
      <w:jc w:val="left"/>
    </w:pPr>
    <w:rPr>
      <w:kern w:val="0"/>
      <w:sz w:val="24"/>
    </w:rPr>
  </w:style>
  <w:style w:type="paragraph" w:customStyle="1" w:styleId="582">
    <w:name w:val="默认段落字体 Para Char Char Char Char Char Char Char"/>
    <w:basedOn w:val="1"/>
    <w:semiHidden/>
    <w:qFormat/>
    <w:uiPriority w:val="0"/>
    <w:pPr>
      <w:ind w:firstLine="200" w:firstLineChars="200"/>
      <w:jc w:val="left"/>
    </w:pPr>
    <w:rPr>
      <w:rFonts w:ascii="Tahoma" w:hAnsi="Tahoma"/>
      <w:szCs w:val="20"/>
    </w:rPr>
  </w:style>
  <w:style w:type="paragraph" w:customStyle="1" w:styleId="583">
    <w:name w:val="xl108"/>
    <w:basedOn w:val="1"/>
    <w:qFormat/>
    <w:uiPriority w:val="0"/>
    <w:pPr>
      <w:widowControl/>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584">
    <w:name w:val="Style11"/>
    <w:basedOn w:val="1"/>
    <w:unhideWhenUsed/>
    <w:qFormat/>
    <w:uiPriority w:val="0"/>
    <w:pPr>
      <w:spacing w:line="559" w:lineRule="exact"/>
      <w:ind w:firstLine="590"/>
    </w:pPr>
  </w:style>
  <w:style w:type="paragraph" w:customStyle="1" w:styleId="585">
    <w:name w:val="xl137"/>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ind w:firstLine="200" w:firstLineChars="200"/>
      <w:jc w:val="left"/>
    </w:pPr>
    <w:rPr>
      <w:rFonts w:ascii="宋体" w:hAnsi="宋体" w:cs="宋体"/>
      <w:kern w:val="0"/>
      <w:sz w:val="20"/>
      <w:szCs w:val="20"/>
    </w:rPr>
  </w:style>
  <w:style w:type="paragraph" w:customStyle="1" w:styleId="586">
    <w:name w:val="标准正文"/>
    <w:basedOn w:val="1"/>
    <w:qFormat/>
    <w:uiPriority w:val="0"/>
    <w:rPr>
      <w:rFonts w:cs="宋体"/>
      <w:spacing w:val="2"/>
    </w:rPr>
  </w:style>
  <w:style w:type="paragraph" w:customStyle="1" w:styleId="58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58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89">
    <w:name w:val="doublepad"/>
    <w:basedOn w:val="1"/>
    <w:qFormat/>
    <w:uiPriority w:val="0"/>
    <w:pPr>
      <w:widowControl/>
      <w:spacing w:before="100" w:beforeAutospacing="1" w:after="100" w:afterAutospacing="1"/>
      <w:ind w:left="510"/>
      <w:jc w:val="left"/>
    </w:pPr>
    <w:rPr>
      <w:kern w:val="0"/>
      <w:sz w:val="24"/>
    </w:rPr>
  </w:style>
  <w:style w:type="paragraph" w:customStyle="1" w:styleId="590">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3366FF"/>
      <w:spacing w:before="100" w:beforeAutospacing="1" w:after="100" w:afterAutospacing="1"/>
      <w:ind w:firstLine="200" w:firstLineChars="200"/>
      <w:jc w:val="left"/>
      <w:textAlignment w:val="bottom"/>
    </w:pPr>
    <w:rPr>
      <w:kern w:val="0"/>
      <w:sz w:val="20"/>
      <w:szCs w:val="20"/>
    </w:rPr>
  </w:style>
  <w:style w:type="paragraph" w:customStyle="1" w:styleId="591">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ind w:firstLine="200" w:firstLineChars="200"/>
      <w:jc w:val="left"/>
      <w:textAlignment w:val="bottom"/>
    </w:pPr>
    <w:rPr>
      <w:kern w:val="0"/>
      <w:sz w:val="20"/>
      <w:szCs w:val="20"/>
    </w:rPr>
  </w:style>
  <w:style w:type="paragraph" w:customStyle="1" w:styleId="592">
    <w:name w:val="表格编号"/>
    <w:basedOn w:val="1"/>
    <w:next w:val="1"/>
    <w:qFormat/>
    <w:uiPriority w:val="0"/>
    <w:pPr>
      <w:numPr>
        <w:ilvl w:val="0"/>
        <w:numId w:val="16"/>
      </w:numPr>
      <w:spacing w:line="240" w:lineRule="auto"/>
      <w:ind w:firstLine="200" w:firstLineChars="200"/>
      <w:jc w:val="center"/>
      <w:textAlignment w:val="center"/>
    </w:pPr>
    <w:rPr>
      <w:rFonts w:ascii="宋体" w:hAnsi="宋体" w:eastAsia="仿宋_GB2312"/>
    </w:rPr>
  </w:style>
  <w:style w:type="paragraph" w:customStyle="1" w:styleId="593">
    <w:name w:val="xl154"/>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ind w:firstLine="200" w:firstLineChars="200"/>
      <w:jc w:val="center"/>
    </w:pPr>
    <w:rPr>
      <w:rFonts w:ascii="宋体" w:hAnsi="宋体" w:cs="宋体"/>
      <w:kern w:val="0"/>
      <w:sz w:val="20"/>
      <w:szCs w:val="20"/>
    </w:rPr>
  </w:style>
  <w:style w:type="paragraph" w:customStyle="1" w:styleId="594">
    <w:name w:val="Char Char Char Char"/>
    <w:basedOn w:val="1"/>
    <w:qFormat/>
    <w:uiPriority w:val="0"/>
    <w:pPr>
      <w:widowControl/>
      <w:spacing w:after="160" w:line="240" w:lineRule="exact"/>
      <w:ind w:firstLine="200" w:firstLineChars="200"/>
      <w:jc w:val="left"/>
    </w:pPr>
  </w:style>
  <w:style w:type="paragraph" w:customStyle="1" w:styleId="595">
    <w:name w:val="样式 表格文字 + 宋体 五号"/>
    <w:basedOn w:val="401"/>
    <w:qFormat/>
    <w:uiPriority w:val="0"/>
    <w:pPr>
      <w:widowControl/>
      <w:snapToGrid w:val="0"/>
      <w:spacing w:line="240" w:lineRule="auto"/>
      <w:ind w:firstLine="0" w:firstLineChars="0"/>
      <w:jc w:val="center"/>
    </w:pPr>
    <w:rPr>
      <w:rFonts w:ascii="宋体" w:hAnsi="宋体"/>
      <w:sz w:val="18"/>
      <w:szCs w:val="24"/>
    </w:rPr>
  </w:style>
  <w:style w:type="paragraph" w:customStyle="1" w:styleId="59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color w:val="FF0000"/>
      <w:kern w:val="0"/>
      <w:sz w:val="20"/>
      <w:szCs w:val="20"/>
    </w:rPr>
  </w:style>
  <w:style w:type="paragraph" w:customStyle="1" w:styleId="597">
    <w:name w:val="Style52"/>
    <w:basedOn w:val="1"/>
    <w:unhideWhenUsed/>
    <w:qFormat/>
    <w:uiPriority w:val="0"/>
    <w:pPr>
      <w:spacing w:line="682" w:lineRule="exact"/>
      <w:ind w:firstLine="557"/>
    </w:pPr>
  </w:style>
  <w:style w:type="paragraph" w:customStyle="1" w:styleId="59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59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bottom"/>
    </w:pPr>
    <w:rPr>
      <w:rFonts w:ascii="宋体" w:hAnsi="宋体" w:cs="宋体"/>
      <w:kern w:val="0"/>
      <w:sz w:val="20"/>
      <w:szCs w:val="20"/>
    </w:rPr>
  </w:style>
  <w:style w:type="paragraph" w:customStyle="1" w:styleId="600">
    <w:name w:val="Style45"/>
    <w:basedOn w:val="1"/>
    <w:unhideWhenUsed/>
    <w:qFormat/>
    <w:uiPriority w:val="0"/>
  </w:style>
  <w:style w:type="paragraph" w:customStyle="1" w:styleId="601">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center"/>
    </w:pPr>
    <w:rPr>
      <w:rFonts w:ascii="宋体" w:hAnsi="宋体" w:cs="宋体"/>
      <w:kern w:val="0"/>
      <w:sz w:val="20"/>
      <w:szCs w:val="20"/>
    </w:rPr>
  </w:style>
  <w:style w:type="paragraph" w:customStyle="1" w:styleId="602">
    <w:name w:val="Style69"/>
    <w:basedOn w:val="1"/>
    <w:unhideWhenUsed/>
    <w:qFormat/>
    <w:uiPriority w:val="0"/>
    <w:pPr>
      <w:spacing w:line="557" w:lineRule="exact"/>
      <w:ind w:firstLine="1666"/>
    </w:pPr>
  </w:style>
  <w:style w:type="paragraph" w:customStyle="1" w:styleId="603">
    <w:name w:val="font6"/>
    <w:basedOn w:val="1"/>
    <w:qFormat/>
    <w:uiPriority w:val="0"/>
    <w:pPr>
      <w:widowControl/>
      <w:spacing w:before="100" w:beforeAutospacing="1" w:after="100" w:afterAutospacing="1"/>
      <w:ind w:firstLine="200" w:firstLineChars="200"/>
      <w:jc w:val="left"/>
    </w:pPr>
    <w:rPr>
      <w:rFonts w:ascii="宋体" w:hAnsi="宋体" w:cs="宋体"/>
      <w:kern w:val="0"/>
      <w:sz w:val="20"/>
      <w:szCs w:val="20"/>
    </w:rPr>
  </w:style>
  <w:style w:type="paragraph" w:customStyle="1" w:styleId="604">
    <w:name w:val="xl156"/>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605">
    <w:name w:val="样式 正文首行缩进 + 首行缩进:  2 字符 段前: 0.3 行"/>
    <w:basedOn w:val="15"/>
    <w:qFormat/>
    <w:uiPriority w:val="0"/>
    <w:pPr>
      <w:spacing w:beforeLines="30" w:after="0" w:line="360" w:lineRule="auto"/>
      <w:ind w:firstLine="480"/>
      <w:jc w:val="both"/>
    </w:pPr>
    <w:rPr>
      <w:rFonts w:cs="宋体"/>
      <w:kern w:val="0"/>
      <w:szCs w:val="20"/>
    </w:rPr>
  </w:style>
  <w:style w:type="paragraph" w:customStyle="1" w:styleId="6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ind w:firstLine="200" w:firstLineChars="200"/>
      <w:jc w:val="center"/>
    </w:pPr>
    <w:rPr>
      <w:rFonts w:ascii="宋体" w:hAnsi="宋体" w:cs="宋体"/>
      <w:kern w:val="0"/>
      <w:sz w:val="20"/>
      <w:szCs w:val="20"/>
    </w:rPr>
  </w:style>
  <w:style w:type="paragraph" w:customStyle="1" w:styleId="60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608">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200" w:firstLineChars="200"/>
      <w:jc w:val="left"/>
    </w:pPr>
    <w:rPr>
      <w:rFonts w:ascii="宋体" w:hAnsi="宋体" w:cs="宋体"/>
      <w:kern w:val="0"/>
      <w:sz w:val="20"/>
      <w:szCs w:val="20"/>
    </w:rPr>
  </w:style>
  <w:style w:type="paragraph" w:customStyle="1" w:styleId="609">
    <w:name w:val="light7"/>
    <w:basedOn w:val="10"/>
    <w:qFormat/>
    <w:uiPriority w:val="0"/>
    <w:pPr>
      <w:numPr>
        <w:ilvl w:val="6"/>
        <w:numId w:val="3"/>
      </w:numPr>
      <w:tabs>
        <w:tab w:val="left" w:pos="3840"/>
      </w:tabs>
      <w:adjustRightInd/>
      <w:spacing w:line="320" w:lineRule="auto"/>
      <w:jc w:val="both"/>
      <w:textAlignment w:val="auto"/>
    </w:pPr>
    <w:rPr>
      <w:rFonts w:ascii="Cambria" w:hAnsi="Cambria" w:eastAsia="宋体"/>
      <w:kern w:val="2"/>
      <w:sz w:val="21"/>
      <w:szCs w:val="21"/>
    </w:rPr>
  </w:style>
  <w:style w:type="paragraph" w:customStyle="1" w:styleId="610">
    <w:name w:val="Style73"/>
    <w:basedOn w:val="1"/>
    <w:unhideWhenUsed/>
    <w:qFormat/>
    <w:uiPriority w:val="0"/>
    <w:pPr>
      <w:spacing w:line="538" w:lineRule="exact"/>
      <w:ind w:firstLine="533"/>
    </w:pPr>
  </w:style>
  <w:style w:type="paragraph" w:customStyle="1" w:styleId="611">
    <w:name w:val="普通正文"/>
    <w:basedOn w:val="1"/>
    <w:qFormat/>
    <w:uiPriority w:val="0"/>
    <w:pPr>
      <w:adjustRightInd w:val="0"/>
      <w:spacing w:before="120" w:after="120"/>
      <w:ind w:firstLine="480"/>
      <w:jc w:val="left"/>
      <w:textAlignment w:val="baseline"/>
    </w:pPr>
    <w:rPr>
      <w:rFonts w:ascii="Arial" w:hAnsi="Arial"/>
      <w:kern w:val="0"/>
      <w:sz w:val="24"/>
    </w:rPr>
  </w:style>
  <w:style w:type="paragraph" w:customStyle="1" w:styleId="612">
    <w:name w:val="我的正文"/>
    <w:basedOn w:val="1"/>
    <w:qFormat/>
    <w:uiPriority w:val="0"/>
    <w:pPr>
      <w:ind w:firstLine="200" w:firstLineChars="200"/>
      <w:jc w:val="left"/>
    </w:pPr>
    <w:rPr>
      <w:rFonts w:eastAsia="方正仿宋_GBK"/>
      <w:sz w:val="32"/>
      <w:szCs w:val="32"/>
    </w:rPr>
  </w:style>
  <w:style w:type="paragraph" w:customStyle="1" w:styleId="613">
    <w:name w:val="xl161"/>
    <w:basedOn w:val="1"/>
    <w:qFormat/>
    <w:uiPriority w:val="0"/>
    <w:pPr>
      <w:widowControl/>
      <w:pBdr>
        <w:left w:val="single" w:color="auto" w:sz="4" w:space="0"/>
        <w:right w:val="single" w:color="auto" w:sz="4" w:space="0"/>
      </w:pBdr>
      <w:shd w:val="clear" w:color="auto" w:fill="CCFFFF"/>
      <w:spacing w:before="100" w:beforeAutospacing="1" w:after="100" w:afterAutospacing="1"/>
      <w:ind w:firstLine="200" w:firstLineChars="200"/>
      <w:jc w:val="center"/>
    </w:pPr>
    <w:rPr>
      <w:rFonts w:ascii="宋体" w:hAnsi="宋体" w:cs="宋体"/>
      <w:kern w:val="0"/>
      <w:sz w:val="20"/>
      <w:szCs w:val="20"/>
    </w:rPr>
  </w:style>
  <w:style w:type="paragraph" w:customStyle="1" w:styleId="614">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200" w:firstLineChars="200"/>
      <w:jc w:val="center"/>
    </w:pPr>
    <w:rPr>
      <w:rFonts w:ascii="宋体" w:hAnsi="宋体" w:cs="宋体"/>
      <w:kern w:val="0"/>
      <w:sz w:val="20"/>
      <w:szCs w:val="20"/>
    </w:rPr>
  </w:style>
  <w:style w:type="paragraph" w:customStyle="1" w:styleId="615">
    <w:name w:val="列表2"/>
    <w:basedOn w:val="1"/>
    <w:next w:val="1"/>
    <w:qFormat/>
    <w:uiPriority w:val="0"/>
    <w:pPr>
      <w:numPr>
        <w:ilvl w:val="0"/>
        <w:numId w:val="17"/>
      </w:numPr>
      <w:spacing w:line="200" w:lineRule="atLeast"/>
    </w:pPr>
    <w:rPr>
      <w:sz w:val="28"/>
    </w:rPr>
  </w:style>
  <w:style w:type="paragraph" w:customStyle="1" w:styleId="61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pPr>
    <w:rPr>
      <w:rFonts w:ascii="宋体" w:hAnsi="宋体" w:cs="宋体"/>
      <w:color w:val="FF0000"/>
      <w:kern w:val="0"/>
      <w:sz w:val="20"/>
      <w:szCs w:val="20"/>
    </w:rPr>
  </w:style>
  <w:style w:type="paragraph" w:customStyle="1" w:styleId="617">
    <w:name w:val="表格内容（居中）"/>
    <w:basedOn w:val="1"/>
    <w:qFormat/>
    <w:uiPriority w:val="0"/>
    <w:pPr>
      <w:autoSpaceDE w:val="0"/>
      <w:autoSpaceDN w:val="0"/>
      <w:adjustRightInd w:val="0"/>
      <w:snapToGrid w:val="0"/>
      <w:spacing w:before="40" w:after="40"/>
      <w:ind w:left="790" w:hanging="790" w:hangingChars="395"/>
      <w:jc w:val="center"/>
      <w:textAlignment w:val="bottom"/>
    </w:pPr>
    <w:rPr>
      <w:rFonts w:eastAsia="仿宋_GB2312"/>
      <w:bCs/>
      <w:color w:val="000000"/>
      <w:spacing w:val="-20"/>
      <w:kern w:val="24"/>
      <w:sz w:val="24"/>
      <w:szCs w:val="18"/>
      <w:lang w:val="en-GB"/>
    </w:rPr>
  </w:style>
  <w:style w:type="paragraph" w:customStyle="1" w:styleId="618">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19">
    <w:name w:val="TOC 标题1"/>
    <w:basedOn w:val="3"/>
    <w:next w:val="1"/>
    <w:qFormat/>
    <w:uiPriority w:val="39"/>
    <w:pPr>
      <w:keepLines/>
      <w:widowControl/>
      <w:spacing w:before="480" w:line="276" w:lineRule="auto"/>
      <w:outlineLvl w:val="9"/>
    </w:pPr>
    <w:rPr>
      <w:rFonts w:ascii="Cambria" w:hAnsi="Cambria"/>
      <w:color w:val="365F91"/>
      <w:kern w:val="0"/>
      <w:sz w:val="28"/>
      <w:szCs w:val="28"/>
    </w:rPr>
  </w:style>
  <w:style w:type="paragraph" w:customStyle="1" w:styleId="62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ind w:firstLine="200" w:firstLineChars="200"/>
      <w:jc w:val="left"/>
    </w:pPr>
    <w:rPr>
      <w:rFonts w:ascii="宋体" w:hAnsi="宋体" w:cs="宋体"/>
      <w:kern w:val="0"/>
      <w:sz w:val="20"/>
      <w:szCs w:val="20"/>
    </w:rPr>
  </w:style>
  <w:style w:type="paragraph" w:customStyle="1" w:styleId="62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left"/>
      <w:textAlignment w:val="bottom"/>
    </w:pPr>
    <w:rPr>
      <w:rFonts w:ascii="宋体" w:hAnsi="宋体" w:cs="宋体"/>
      <w:kern w:val="0"/>
      <w:sz w:val="20"/>
      <w:szCs w:val="20"/>
    </w:rPr>
  </w:style>
  <w:style w:type="paragraph" w:customStyle="1" w:styleId="622">
    <w:name w:val="样式1-三级标题"/>
    <w:basedOn w:val="5"/>
    <w:qFormat/>
    <w:uiPriority w:val="0"/>
    <w:pPr>
      <w:numPr>
        <w:ilvl w:val="2"/>
        <w:numId w:val="18"/>
      </w:numPr>
    </w:pPr>
  </w:style>
  <w:style w:type="paragraph" w:customStyle="1" w:styleId="623">
    <w:name w:val="light3"/>
    <w:basedOn w:val="1"/>
    <w:qFormat/>
    <w:uiPriority w:val="0"/>
    <w:pPr>
      <w:keepNext/>
      <w:keepLines/>
      <w:numPr>
        <w:ilvl w:val="2"/>
        <w:numId w:val="3"/>
      </w:numPr>
      <w:spacing w:before="480" w:after="120"/>
      <w:outlineLvl w:val="2"/>
    </w:pPr>
    <w:rPr>
      <w:rFonts w:ascii="宋体" w:hAnsi="宋体"/>
      <w:b/>
      <w:bCs/>
      <w:sz w:val="28"/>
      <w:szCs w:val="28"/>
    </w:rPr>
  </w:style>
  <w:style w:type="paragraph" w:customStyle="1" w:styleId="624">
    <w:name w:val="样式 表格文字 + 宋体 五号 两端对齐"/>
    <w:basedOn w:val="1"/>
    <w:qFormat/>
    <w:uiPriority w:val="0"/>
    <w:pPr>
      <w:widowControl/>
      <w:snapToGrid w:val="0"/>
    </w:pPr>
    <w:rPr>
      <w:rFonts w:ascii="宋体" w:hAnsi="宋体"/>
      <w:sz w:val="18"/>
      <w:szCs w:val="20"/>
    </w:rPr>
  </w:style>
  <w:style w:type="paragraph" w:customStyle="1" w:styleId="625">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ind w:firstLine="200" w:firstLineChars="200"/>
      <w:jc w:val="center"/>
    </w:pPr>
    <w:rPr>
      <w:rFonts w:ascii="宋体" w:hAnsi="宋体" w:cs="宋体"/>
      <w:color w:val="FF0000"/>
      <w:kern w:val="0"/>
      <w:sz w:val="20"/>
      <w:szCs w:val="20"/>
    </w:rPr>
  </w:style>
  <w:style w:type="paragraph" w:customStyle="1" w:styleId="626">
    <w:name w:val="样式 表格文字加粗 + 宋体 五号"/>
    <w:basedOn w:val="1"/>
    <w:qFormat/>
    <w:uiPriority w:val="0"/>
    <w:pPr>
      <w:snapToGrid w:val="0"/>
      <w:jc w:val="center"/>
    </w:pPr>
    <w:rPr>
      <w:rFonts w:ascii="宋体" w:hAnsi="宋体"/>
      <w:sz w:val="18"/>
    </w:rPr>
  </w:style>
  <w:style w:type="paragraph" w:customStyle="1" w:styleId="627">
    <w:name w:val="标准文件_四级条标题"/>
    <w:basedOn w:val="451"/>
    <w:next w:val="165"/>
    <w:qFormat/>
    <w:uiPriority w:val="0"/>
    <w:pPr>
      <w:numPr>
        <w:ilvl w:val="5"/>
      </w:numPr>
      <w:outlineLvl w:val="5"/>
    </w:pPr>
  </w:style>
  <w:style w:type="paragraph" w:customStyle="1" w:styleId="628">
    <w:name w:val="light6"/>
    <w:basedOn w:val="9"/>
    <w:qFormat/>
    <w:uiPriority w:val="0"/>
    <w:pPr>
      <w:numPr>
        <w:ilvl w:val="5"/>
        <w:numId w:val="3"/>
      </w:numPr>
      <w:adjustRightInd/>
      <w:spacing w:line="320" w:lineRule="auto"/>
      <w:jc w:val="both"/>
      <w:textAlignment w:val="auto"/>
    </w:pPr>
    <w:rPr>
      <w:rFonts w:ascii="Calibri" w:hAnsi="Calibri"/>
      <w:kern w:val="2"/>
      <w:sz w:val="21"/>
      <w:szCs w:val="21"/>
    </w:rPr>
  </w:style>
  <w:style w:type="paragraph" w:customStyle="1" w:styleId="629">
    <w:name w:val="Char Char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630">
    <w:name w:val="Body1"/>
    <w:basedOn w:val="1"/>
    <w:qFormat/>
    <w:uiPriority w:val="0"/>
    <w:pPr>
      <w:widowControl/>
      <w:spacing w:before="120" w:after="100" w:afterAutospacing="1" w:line="288" w:lineRule="auto"/>
      <w:ind w:left="1712" w:firstLine="200" w:firstLineChars="200"/>
    </w:pPr>
    <w:rPr>
      <w:rFonts w:ascii="Arial" w:hAnsi="Arial"/>
      <w:kern w:val="0"/>
      <w:szCs w:val="21"/>
    </w:rPr>
  </w:style>
  <w:style w:type="paragraph" w:customStyle="1" w:styleId="631">
    <w:name w:val="TableNote"/>
    <w:qFormat/>
    <w:uiPriority w:val="1"/>
    <w:pPr>
      <w:spacing w:before="480" w:after="120"/>
      <w:ind w:left="1587" w:hanging="340"/>
    </w:pPr>
    <w:rPr>
      <w:rFonts w:ascii="Arial" w:hAnsi="Arial" w:eastAsia="宋体" w:cs="Times New Roman"/>
      <w:kern w:val="44"/>
      <w:sz w:val="18"/>
      <w:szCs w:val="44"/>
      <w:lang w:val="en-US" w:eastAsia="zh-CN" w:bidi="ar-SA"/>
    </w:rPr>
  </w:style>
  <w:style w:type="paragraph" w:customStyle="1" w:styleId="632">
    <w:name w:val="xl107"/>
    <w:basedOn w:val="1"/>
    <w:qFormat/>
    <w:uiPriority w:val="0"/>
    <w:pPr>
      <w:widowControl/>
      <w:shd w:val="clear" w:color="auto" w:fill="FFFF00"/>
      <w:spacing w:before="100" w:beforeAutospacing="1" w:after="100" w:afterAutospacing="1"/>
      <w:ind w:firstLine="200" w:firstLineChars="200"/>
      <w:jc w:val="center"/>
    </w:pPr>
    <w:rPr>
      <w:rFonts w:ascii="宋体" w:hAnsi="宋体" w:cs="宋体"/>
      <w:kern w:val="0"/>
      <w:sz w:val="20"/>
      <w:szCs w:val="20"/>
    </w:rPr>
  </w:style>
  <w:style w:type="paragraph" w:customStyle="1" w:styleId="633">
    <w:name w:val="0"/>
    <w:basedOn w:val="1"/>
    <w:qFormat/>
    <w:uiPriority w:val="0"/>
    <w:pPr>
      <w:widowControl/>
      <w:spacing w:line="240" w:lineRule="auto"/>
    </w:pPr>
    <w:rPr>
      <w:kern w:val="0"/>
      <w:szCs w:val="20"/>
    </w:rPr>
  </w:style>
  <w:style w:type="paragraph" w:customStyle="1" w:styleId="634">
    <w:name w:val="Colorful Shading - Accent 11"/>
    <w:semiHidden/>
    <w:qFormat/>
    <w:uiPriority w:val="99"/>
    <w:rPr>
      <w:rFonts w:ascii="Times New Roman" w:hAnsi="Times New Roman" w:eastAsia="宋体" w:cs="Times New Roman"/>
      <w:kern w:val="2"/>
      <w:sz w:val="24"/>
      <w:szCs w:val="24"/>
      <w:lang w:val="en-US" w:eastAsia="zh-CN" w:bidi="ar-SA"/>
    </w:rPr>
  </w:style>
  <w:style w:type="paragraph" w:customStyle="1" w:styleId="635">
    <w:name w:val="NotSortedNumbering2"/>
    <w:basedOn w:val="1"/>
    <w:qFormat/>
    <w:uiPriority w:val="1"/>
    <w:pPr>
      <w:spacing w:before="120" w:line="288" w:lineRule="auto"/>
      <w:ind w:left="2324" w:hanging="623"/>
    </w:pPr>
    <w:rPr>
      <w:rFonts w:ascii="Arial" w:hAnsi="Arial"/>
      <w:kern w:val="44"/>
      <w:szCs w:val="44"/>
    </w:rPr>
  </w:style>
  <w:style w:type="paragraph" w:customStyle="1" w:styleId="636">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ind w:firstLine="200" w:firstLineChars="200"/>
      <w:jc w:val="center"/>
    </w:pPr>
    <w:rPr>
      <w:rFonts w:ascii="宋体" w:hAnsi="宋体" w:cs="宋体"/>
      <w:kern w:val="0"/>
      <w:sz w:val="20"/>
      <w:szCs w:val="20"/>
    </w:rPr>
  </w:style>
  <w:style w:type="paragraph" w:customStyle="1" w:styleId="637">
    <w:name w:val="PictureNote"/>
    <w:basedOn w:val="1"/>
    <w:qFormat/>
    <w:uiPriority w:val="1"/>
    <w:pPr>
      <w:spacing w:before="480" w:after="120"/>
      <w:ind w:left="1587" w:hanging="340"/>
      <w:jc w:val="left"/>
    </w:pPr>
    <w:rPr>
      <w:rFonts w:ascii="Arial" w:hAnsi="Arial"/>
      <w:kern w:val="44"/>
      <w:sz w:val="18"/>
      <w:szCs w:val="44"/>
    </w:rPr>
  </w:style>
  <w:style w:type="paragraph" w:customStyle="1" w:styleId="638">
    <w:name w:val="pad"/>
    <w:basedOn w:val="1"/>
    <w:qFormat/>
    <w:uiPriority w:val="0"/>
    <w:pPr>
      <w:widowControl/>
      <w:spacing w:before="100" w:beforeAutospacing="1" w:after="100" w:afterAutospacing="1"/>
      <w:ind w:left="255"/>
      <w:jc w:val="left"/>
    </w:pPr>
    <w:rPr>
      <w:kern w:val="0"/>
      <w:sz w:val="24"/>
    </w:rPr>
  </w:style>
  <w:style w:type="paragraph" w:customStyle="1" w:styleId="639">
    <w:name w:val="目录标题"/>
    <w:qFormat/>
    <w:uiPriority w:val="0"/>
    <w:pPr>
      <w:spacing w:before="480" w:after="360" w:line="360" w:lineRule="auto"/>
      <w:jc w:val="center"/>
    </w:pPr>
    <w:rPr>
      <w:rFonts w:ascii="Arial" w:hAnsi="Arial" w:eastAsia="黑体" w:cs="Times New Roman"/>
      <w:b/>
      <w:sz w:val="32"/>
      <w:lang w:val="en-US" w:eastAsia="zh-CN" w:bidi="ar-SA"/>
    </w:rPr>
  </w:style>
  <w:style w:type="paragraph" w:customStyle="1" w:styleId="640">
    <w:name w:val="jkm6"/>
    <w:qFormat/>
    <w:uiPriority w:val="0"/>
    <w:pPr>
      <w:numPr>
        <w:ilvl w:val="5"/>
        <w:numId w:val="19"/>
      </w:numPr>
      <w:spacing w:before="100" w:beforeAutospacing="1" w:after="100" w:afterAutospacing="1" w:line="360" w:lineRule="auto"/>
      <w:outlineLvl w:val="5"/>
    </w:pPr>
    <w:rPr>
      <w:rFonts w:ascii="Arial" w:hAnsi="Arial" w:eastAsia="宋体" w:cs="Times New Roman"/>
      <w:b/>
      <w:kern w:val="2"/>
      <w:sz w:val="24"/>
      <w:szCs w:val="24"/>
      <w:lang w:val="en-US" w:eastAsia="zh-CN" w:bidi="ar-SA"/>
    </w:rPr>
  </w:style>
  <w:style w:type="paragraph" w:customStyle="1" w:styleId="641">
    <w:name w:val="样式 标题 3 + 黑体 小四 行距: 1.5 倍行距"/>
    <w:basedOn w:val="5"/>
    <w:qFormat/>
    <w:uiPriority w:val="0"/>
    <w:pPr>
      <w:jc w:val="both"/>
    </w:pPr>
    <w:rPr>
      <w:rFonts w:ascii="黑体" w:hAnsi="宋体" w:eastAsia="黑体" w:cs="宋体"/>
      <w:kern w:val="0"/>
      <w:sz w:val="28"/>
      <w:szCs w:val="20"/>
    </w:rPr>
  </w:style>
  <w:style w:type="paragraph" w:customStyle="1" w:styleId="642">
    <w:name w:val="样式 宋体 首行缩进:  2 字符1"/>
    <w:basedOn w:val="1"/>
    <w:qFormat/>
    <w:uiPriority w:val="0"/>
    <w:pPr>
      <w:spacing w:line="300" w:lineRule="auto"/>
      <w:ind w:firstLine="480" w:firstLineChars="200"/>
    </w:pPr>
    <w:rPr>
      <w:rFonts w:ascii="宋体" w:hAnsi="宋体"/>
      <w:sz w:val="24"/>
      <w:szCs w:val="20"/>
    </w:rPr>
  </w:style>
  <w:style w:type="paragraph" w:customStyle="1" w:styleId="643">
    <w:name w:val="light1"/>
    <w:basedOn w:val="1"/>
    <w:qFormat/>
    <w:uiPriority w:val="0"/>
    <w:pPr>
      <w:keepNext/>
      <w:keepLines/>
      <w:numPr>
        <w:ilvl w:val="0"/>
        <w:numId w:val="3"/>
      </w:numPr>
      <w:spacing w:before="360" w:after="120"/>
      <w:jc w:val="left"/>
      <w:outlineLvl w:val="0"/>
    </w:pPr>
    <w:rPr>
      <w:rFonts w:ascii="宋体" w:hAnsi="宋体"/>
      <w:b/>
      <w:bCs/>
      <w:kern w:val="44"/>
      <w:sz w:val="44"/>
      <w:szCs w:val="44"/>
    </w:rPr>
  </w:style>
  <w:style w:type="paragraph" w:customStyle="1" w:styleId="644">
    <w:name w:val="cwj样式A"/>
    <w:basedOn w:val="1"/>
    <w:qFormat/>
    <w:uiPriority w:val="0"/>
    <w:pPr>
      <w:numPr>
        <w:ilvl w:val="0"/>
        <w:numId w:val="20"/>
      </w:numPr>
      <w:tabs>
        <w:tab w:val="left" w:pos="425"/>
        <w:tab w:val="clear" w:pos="520"/>
      </w:tabs>
      <w:ind w:left="425" w:hanging="425" w:firstLineChars="200"/>
    </w:pPr>
    <w:rPr>
      <w:rFonts w:ascii="Calibri" w:hAnsi="Calibri"/>
      <w:sz w:val="24"/>
      <w:szCs w:val="20"/>
    </w:rPr>
  </w:style>
  <w:style w:type="table" w:customStyle="1" w:styleId="645">
    <w:name w:val="网格型1"/>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46">
    <w:name w:val="Gridding1"/>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47">
    <w:name w:val="apple-converted-space"/>
    <w:basedOn w:val="50"/>
    <w:qFormat/>
    <w:uiPriority w:val="0"/>
  </w:style>
  <w:style w:type="character" w:customStyle="1" w:styleId="648">
    <w:name w:val="Balloon Text Char"/>
    <w:qFormat/>
    <w:locked/>
    <w:uiPriority w:val="0"/>
    <w:rPr>
      <w:rFonts w:ascii="Calibri" w:hAnsi="Calibri" w:eastAsia="宋体"/>
      <w:sz w:val="18"/>
    </w:rPr>
  </w:style>
  <w:style w:type="character" w:customStyle="1" w:styleId="649">
    <w:name w:val="称呼 Char"/>
    <w:link w:val="22"/>
    <w:qFormat/>
    <w:locked/>
    <w:uiPriority w:val="0"/>
    <w:rPr>
      <w:rFonts w:ascii="仿宋_GB2312" w:eastAsia="仿宋_GB2312"/>
      <w:kern w:val="2"/>
      <w:sz w:val="24"/>
      <w:szCs w:val="24"/>
    </w:rPr>
  </w:style>
  <w:style w:type="character" w:customStyle="1" w:styleId="650">
    <w:name w:val="正文文本 3 Char"/>
    <w:link w:val="23"/>
    <w:qFormat/>
    <w:locked/>
    <w:uiPriority w:val="0"/>
    <w:rPr>
      <w:rFonts w:ascii="宋体"/>
      <w:color w:val="000000"/>
      <w:sz w:val="24"/>
    </w:rPr>
  </w:style>
  <w:style w:type="character" w:customStyle="1" w:styleId="651">
    <w:name w:val="Char Char12"/>
    <w:qFormat/>
    <w:uiPriority w:val="0"/>
    <w:rPr>
      <w:rFonts w:ascii="Arial" w:hAnsi="Arial" w:eastAsia="黑体"/>
      <w:b/>
      <w:kern w:val="2"/>
      <w:sz w:val="28"/>
      <w:lang w:val="en-US" w:eastAsia="zh-CN"/>
    </w:rPr>
  </w:style>
  <w:style w:type="character" w:customStyle="1" w:styleId="652">
    <w:name w:val="Char Char13"/>
    <w:qFormat/>
    <w:uiPriority w:val="0"/>
    <w:rPr>
      <w:rFonts w:eastAsia="宋体"/>
      <w:b/>
      <w:kern w:val="2"/>
      <w:sz w:val="24"/>
      <w:lang w:val="en-US" w:eastAsia="zh-CN"/>
    </w:rPr>
  </w:style>
  <w:style w:type="paragraph" w:customStyle="1" w:styleId="653">
    <w:name w:val="Char4"/>
    <w:basedOn w:val="1"/>
    <w:qFormat/>
    <w:uiPriority w:val="0"/>
    <w:pPr>
      <w:spacing w:line="240" w:lineRule="auto"/>
    </w:pPr>
  </w:style>
  <w:style w:type="paragraph" w:customStyle="1" w:styleId="654">
    <w:name w:val="列出段落2"/>
    <w:basedOn w:val="1"/>
    <w:qFormat/>
    <w:uiPriority w:val="0"/>
    <w:pPr>
      <w:spacing w:line="240" w:lineRule="auto"/>
      <w:ind w:firstLine="420" w:firstLineChars="200"/>
    </w:pPr>
    <w:rPr>
      <w:rFonts w:ascii="Calibri" w:hAnsi="Calibri"/>
      <w:szCs w:val="22"/>
    </w:rPr>
  </w:style>
  <w:style w:type="paragraph" w:customStyle="1" w:styleId="655">
    <w:name w:val="修订11"/>
    <w:qFormat/>
    <w:uiPriority w:val="0"/>
    <w:rPr>
      <w:rFonts w:ascii="Times New Roman" w:hAnsi="Times New Roman" w:eastAsia="宋体" w:cs="Times New Roman"/>
      <w:kern w:val="2"/>
      <w:sz w:val="21"/>
      <w:szCs w:val="24"/>
      <w:lang w:val="en-US" w:eastAsia="zh-CN" w:bidi="ar-SA"/>
    </w:rPr>
  </w:style>
  <w:style w:type="paragraph" w:customStyle="1" w:styleId="656">
    <w:name w:val="List Paragraph1"/>
    <w:basedOn w:val="1"/>
    <w:qFormat/>
    <w:uiPriority w:val="99"/>
    <w:pPr>
      <w:spacing w:line="240" w:lineRule="auto"/>
      <w:ind w:firstLine="420" w:firstLineChars="200"/>
    </w:pPr>
    <w:rPr>
      <w:rFonts w:ascii="Calibri" w:hAnsi="Calibri"/>
      <w:szCs w:val="22"/>
    </w:rPr>
  </w:style>
  <w:style w:type="paragraph" w:customStyle="1" w:styleId="657">
    <w:name w:val="TOC 标题2"/>
    <w:basedOn w:val="3"/>
    <w:next w:val="1"/>
    <w:semiHidden/>
    <w:unhideWhenUsed/>
    <w:qFormat/>
    <w:uiPriority w:val="39"/>
    <w:pPr>
      <w:keepLines/>
      <w:widowControl/>
      <w:spacing w:before="48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658">
    <w:name w:val="纯文本 Char1"/>
    <w:qFormat/>
    <w:locked/>
    <w:uiPriority w:val="0"/>
    <w:rPr>
      <w:rFonts w:ascii="宋体" w:hAnsi="Courier New" w:eastAsia="宋体" w:cs="Courier New"/>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2.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2.jpeg"/>
  <Relationship Id="rId8" Type="http://schemas.openxmlformats.org/officeDocument/2006/relationships/customXml" Target="../customXml/item1.xml"/>
  <Relationship Id="rId9" Type="http://schemas.openxmlformats.org/officeDocument/2006/relationships/numbering" Target="numbering.xml"/>
</Relationships>

</file>

<file path=word/_rels/footer1.xml.rels><?xml version="1.0" encoding="UTF-8"?>

<Relationships xmlns="http://schemas.openxmlformats.org/package/2006/relationships">
  <Relationship Id="rId1" Type="http://schemas.openxmlformats.org/officeDocument/2006/relationships/image" Target="media/image1.GI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3D5B7-1B37-4A36-B349-F77198AFF4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3644</Words>
  <Characters>20776</Characters>
  <Lines>173</Lines>
  <Paragraphs>48</Paragraphs>
  <TotalTime>1</TotalTime>
  <ScaleCrop>false</ScaleCrop>
  <LinksUpToDate>false</LinksUpToDate>
  <CharactersWithSpaces>24372</CharactersWithSpaces>
  <Application>WPS Office_11.1.0.8205_F1E327BC-269C-435d-A152-05C5408002CA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2018-03-26T01:39:00Z</dcterms:created>
  <dc:creator>liu's</dc:creator>
  <lastModifiedBy>小容</lastModifiedBy>
  <lastPrinted>2018-03-26T01:39:00Z</lastPrinted>
  <dcterms:modified xsi:type="dcterms:W3CDTF">2019-01-09T07:14:15Z</dcterms:modified>
  <revision>440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